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5974A1">
      <w:pPr>
        <w:pStyle w:val="3"/>
        <w:rPr>
          <w:rFonts w:ascii="Times New Roman" w:hAnsi="Times New Roman" w:eastAsia="方正仿宋_GBK"/>
          <w:bCs/>
          <w:color w:val="000000"/>
          <w:kern w:val="0"/>
          <w:sz w:val="32"/>
          <w:szCs w:val="32"/>
        </w:rPr>
      </w:pPr>
    </w:p>
    <w:p w14:paraId="3E02E56C"/>
    <w:p w14:paraId="3DA700CE">
      <w:pPr>
        <w:keepNext w:val="0"/>
        <w:keepLines w:val="0"/>
        <w:pageBreakBefore w:val="0"/>
        <w:kinsoku/>
        <w:overflowPunct/>
        <w:topLinePunct w:val="0"/>
        <w:autoSpaceDN/>
        <w:bidi w:val="0"/>
        <w:adjustRightInd w:val="0"/>
        <w:snapToGrid w:val="0"/>
        <w:spacing w:after="0" w:line="600" w:lineRule="exact"/>
        <w:ind w:right="0" w:rightChars="0"/>
        <w:jc w:val="center"/>
        <w:textAlignment w:val="auto"/>
        <w:rPr>
          <w:rFonts w:ascii="Times New Roman" w:hAnsi="Times New Roman" w:eastAsia="方正仿宋_GBK"/>
          <w:bCs/>
          <w:color w:val="000000"/>
          <w:kern w:val="0"/>
          <w:sz w:val="32"/>
          <w:szCs w:val="32"/>
        </w:rPr>
      </w:pPr>
    </w:p>
    <w:p w14:paraId="56482C22">
      <w:pPr>
        <w:keepNext w:val="0"/>
        <w:keepLines w:val="0"/>
        <w:pageBreakBefore w:val="0"/>
        <w:kinsoku/>
        <w:overflowPunct/>
        <w:topLinePunct w:val="0"/>
        <w:autoSpaceDN/>
        <w:bidi w:val="0"/>
        <w:adjustRightInd w:val="0"/>
        <w:snapToGrid w:val="0"/>
        <w:spacing w:after="0" w:line="600" w:lineRule="exact"/>
        <w:ind w:right="0" w:rightChars="0"/>
        <w:jc w:val="center"/>
        <w:textAlignment w:val="auto"/>
        <w:rPr>
          <w:rFonts w:ascii="Times New Roman" w:hAnsi="Times New Roman" w:eastAsia="方正仿宋_GBK"/>
          <w:sz w:val="32"/>
        </w:rPr>
      </w:pPr>
      <w:r>
        <w:rPr>
          <w:rFonts w:ascii="Times New Roman" w:hAnsi="Times New Roman" w:eastAsia="方正仿宋_GBK"/>
          <w:bCs/>
          <w:color w:val="000000"/>
          <w:kern w:val="0"/>
          <w:sz w:val="32"/>
          <w:szCs w:val="32"/>
        </w:rPr>
        <w:t>渝高新发〔202</w:t>
      </w:r>
      <w:r>
        <w:rPr>
          <w:rFonts w:hint="eastAsia" w:ascii="Times New Roman" w:hAnsi="Times New Roman" w:eastAsia="方正仿宋_GBK"/>
          <w:bCs/>
          <w:color w:val="000000"/>
          <w:kern w:val="0"/>
          <w:sz w:val="32"/>
          <w:szCs w:val="32"/>
        </w:rPr>
        <w:t>4</w:t>
      </w:r>
      <w:r>
        <w:rPr>
          <w:rFonts w:ascii="Times New Roman" w:hAnsi="Times New Roman" w:eastAsia="方正仿宋_GBK"/>
          <w:bCs/>
          <w:color w:val="000000"/>
          <w:kern w:val="0"/>
          <w:sz w:val="32"/>
          <w:szCs w:val="32"/>
        </w:rPr>
        <w:t>〕</w:t>
      </w:r>
      <w:r>
        <w:rPr>
          <w:rFonts w:hint="eastAsia" w:ascii="Times New Roman" w:hAnsi="Times New Roman" w:eastAsia="方正仿宋_GBK"/>
          <w:bCs/>
          <w:color w:val="000000"/>
          <w:kern w:val="0"/>
          <w:sz w:val="32"/>
          <w:szCs w:val="32"/>
          <w:lang w:val="en-US" w:eastAsia="zh-CN"/>
        </w:rPr>
        <w:t>15</w:t>
      </w:r>
      <w:r>
        <w:rPr>
          <w:rFonts w:ascii="Times New Roman" w:hAnsi="Times New Roman" w:eastAsia="方正仿宋_GBK"/>
          <w:bCs/>
          <w:color w:val="000000"/>
          <w:kern w:val="0"/>
          <w:sz w:val="32"/>
          <w:szCs w:val="32"/>
        </w:rPr>
        <w:t>号</w:t>
      </w:r>
    </w:p>
    <w:p w14:paraId="50CF0E68">
      <w:pPr>
        <w:keepNext w:val="0"/>
        <w:keepLines w:val="0"/>
        <w:pageBreakBefore w:val="0"/>
        <w:kinsoku/>
        <w:overflowPunct/>
        <w:topLinePunct w:val="0"/>
        <w:autoSpaceDN/>
        <w:bidi w:val="0"/>
        <w:adjustRightInd w:val="0"/>
        <w:snapToGrid w:val="0"/>
        <w:spacing w:after="0" w:line="600" w:lineRule="exact"/>
        <w:ind w:right="0" w:rightChars="0"/>
        <w:textAlignment w:val="auto"/>
        <w:rPr>
          <w:rFonts w:ascii="Times New Roman" w:hAnsi="Times New Roman" w:eastAsia="方正仿宋_GBK"/>
          <w:sz w:val="32"/>
        </w:rPr>
      </w:pPr>
    </w:p>
    <w:p w14:paraId="54FA9D44">
      <w:pPr>
        <w:keepNext w:val="0"/>
        <w:keepLines w:val="0"/>
        <w:pageBreakBefore w:val="0"/>
        <w:kinsoku/>
        <w:overflowPunct/>
        <w:topLinePunct w:val="0"/>
        <w:autoSpaceDN/>
        <w:bidi w:val="0"/>
        <w:adjustRightInd w:val="0"/>
        <w:snapToGrid w:val="0"/>
        <w:spacing w:after="0" w:line="600" w:lineRule="exact"/>
        <w:ind w:right="0" w:rightChars="0"/>
        <w:jc w:val="center"/>
        <w:textAlignment w:val="auto"/>
        <w:rPr>
          <w:rFonts w:ascii="Times New Roman" w:hAnsi="Times New Roman" w:eastAsia="方正小标宋_GBK"/>
          <w:sz w:val="44"/>
          <w:szCs w:val="44"/>
        </w:rPr>
      </w:pPr>
      <w:r>
        <w:rPr>
          <w:rFonts w:ascii="Times New Roman" w:hAnsi="Times New Roman" w:eastAsia="方正小标宋_GBK"/>
          <w:sz w:val="44"/>
          <w:szCs w:val="44"/>
        </w:rPr>
        <w:t>重庆高新区管委会</w:t>
      </w:r>
    </w:p>
    <w:p w14:paraId="469A2CC1">
      <w:pPr>
        <w:keepNext w:val="0"/>
        <w:keepLines w:val="0"/>
        <w:pageBreakBefore w:val="0"/>
        <w:kinsoku/>
        <w:overflowPunct/>
        <w:topLinePunct w:val="0"/>
        <w:autoSpaceDN/>
        <w:bidi w:val="0"/>
        <w:adjustRightInd w:val="0"/>
        <w:snapToGrid w:val="0"/>
        <w:spacing w:after="0" w:line="600" w:lineRule="exact"/>
        <w:ind w:right="0" w:rightChars="0"/>
        <w:jc w:val="center"/>
        <w:textAlignment w:val="auto"/>
        <w:rPr>
          <w:rFonts w:hint="eastAsia" w:ascii="Times New Roman" w:hAnsi="Times New Roman" w:eastAsia="方正小标宋_GBK"/>
          <w:sz w:val="44"/>
          <w:szCs w:val="44"/>
          <w:lang w:eastAsia="zh-CN"/>
        </w:rPr>
      </w:pPr>
      <w:r>
        <w:rPr>
          <w:rFonts w:ascii="Times New Roman" w:hAnsi="Times New Roman" w:eastAsia="方正小标宋_GBK"/>
          <w:sz w:val="44"/>
          <w:szCs w:val="44"/>
        </w:rPr>
        <w:t>关于印发</w:t>
      </w:r>
      <w:r>
        <w:rPr>
          <w:rFonts w:hint="eastAsia" w:ascii="Times New Roman" w:hAnsi="Times New Roman" w:eastAsia="方正小标宋_GBK"/>
          <w:sz w:val="44"/>
          <w:szCs w:val="44"/>
          <w:lang w:eastAsia="zh-CN"/>
        </w:rPr>
        <w:t>《</w:t>
      </w:r>
      <w:r>
        <w:rPr>
          <w:rFonts w:hint="eastAsia" w:ascii="Times New Roman" w:hAnsi="Times New Roman" w:eastAsia="方正小标宋_GBK"/>
          <w:sz w:val="44"/>
          <w:szCs w:val="44"/>
        </w:rPr>
        <w:t>西部科学城重庆高新区“三线一单”生态环境分区管控调整方案（2023年）</w:t>
      </w:r>
      <w:r>
        <w:rPr>
          <w:rFonts w:hint="eastAsia" w:ascii="Times New Roman" w:hAnsi="Times New Roman" w:eastAsia="方正小标宋_GBK"/>
          <w:sz w:val="44"/>
          <w:szCs w:val="44"/>
          <w:lang w:eastAsia="zh-CN"/>
        </w:rPr>
        <w:t>》</w:t>
      </w:r>
    </w:p>
    <w:p w14:paraId="4D517A1F">
      <w:pPr>
        <w:keepNext w:val="0"/>
        <w:keepLines w:val="0"/>
        <w:pageBreakBefore w:val="0"/>
        <w:kinsoku/>
        <w:overflowPunct/>
        <w:topLinePunct w:val="0"/>
        <w:autoSpaceDN/>
        <w:bidi w:val="0"/>
        <w:adjustRightInd w:val="0"/>
        <w:snapToGrid w:val="0"/>
        <w:spacing w:after="0" w:line="600" w:lineRule="exact"/>
        <w:ind w:right="0" w:rightChars="0"/>
        <w:jc w:val="center"/>
        <w:textAlignment w:val="auto"/>
        <w:rPr>
          <w:rFonts w:ascii="Times New Roman" w:hAnsi="Times New Roman" w:eastAsia="方正小标宋_GBK"/>
          <w:sz w:val="44"/>
          <w:szCs w:val="44"/>
        </w:rPr>
      </w:pPr>
      <w:r>
        <w:rPr>
          <w:rFonts w:hint="eastAsia" w:ascii="Times New Roman" w:hAnsi="Times New Roman" w:eastAsia="方正小标宋_GBK"/>
          <w:sz w:val="44"/>
          <w:szCs w:val="44"/>
        </w:rPr>
        <w:t>的通知</w:t>
      </w:r>
    </w:p>
    <w:p w14:paraId="0E4C84E5">
      <w:pPr>
        <w:keepNext w:val="0"/>
        <w:keepLines w:val="0"/>
        <w:pageBreakBefore w:val="0"/>
        <w:kinsoku/>
        <w:overflowPunct/>
        <w:topLinePunct w:val="0"/>
        <w:autoSpaceDN/>
        <w:bidi w:val="0"/>
        <w:adjustRightInd w:val="0"/>
        <w:snapToGrid w:val="0"/>
        <w:spacing w:after="0" w:line="600" w:lineRule="exact"/>
        <w:ind w:right="0" w:rightChars="0"/>
        <w:textAlignment w:val="auto"/>
        <w:rPr>
          <w:rFonts w:ascii="Times New Roman" w:hAnsi="Times New Roman" w:eastAsia="方正仿宋_GBK"/>
          <w:sz w:val="32"/>
        </w:rPr>
      </w:pPr>
    </w:p>
    <w:p w14:paraId="5F1563D7">
      <w:pPr>
        <w:keepNext w:val="0"/>
        <w:keepLines w:val="0"/>
        <w:pageBreakBefore w:val="0"/>
        <w:kinsoku/>
        <w:overflowPunct/>
        <w:topLinePunct w:val="0"/>
        <w:autoSpaceDE w:val="0"/>
        <w:autoSpaceDN/>
        <w:bidi w:val="0"/>
        <w:adjustRightInd w:val="0"/>
        <w:snapToGrid w:val="0"/>
        <w:spacing w:after="0" w:line="600" w:lineRule="exact"/>
        <w:ind w:right="0" w:right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各镇人民政府、街道办事处，管委会各部门，各直属企事业单位，市驻高新区部门，有关单位：</w:t>
      </w:r>
    </w:p>
    <w:p w14:paraId="7EB82CE2">
      <w:pPr>
        <w:keepNext w:val="0"/>
        <w:keepLines w:val="0"/>
        <w:pageBreakBefore w:val="0"/>
        <w:kinsoku/>
        <w:overflowPunct/>
        <w:topLinePunct w:val="0"/>
        <w:autoSpaceDE w:val="0"/>
        <w:autoSpaceDN/>
        <w:bidi w:val="0"/>
        <w:adjustRightInd w:val="0"/>
        <w:snapToGrid w:val="0"/>
        <w:spacing w:after="0" w:line="600" w:lineRule="exact"/>
        <w:ind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《西部科学城重庆高新</w:t>
      </w:r>
      <w:r>
        <w:rPr>
          <w:rFonts w:hint="eastAsia" w:ascii="方正仿宋_GBK" w:hAnsi="方正仿宋_GBK" w:eastAsia="方正仿宋_GBK" w:cs="方正仿宋_GBK"/>
          <w:sz w:val="32"/>
          <w:szCs w:val="32"/>
        </w:rPr>
        <w:t>区“三线一单”生</w:t>
      </w:r>
      <w:r>
        <w:rPr>
          <w:rFonts w:hint="default" w:ascii="Times New Roman" w:hAnsi="Times New Roman" w:eastAsia="方正仿宋_GBK" w:cs="Times New Roman"/>
          <w:sz w:val="32"/>
          <w:szCs w:val="32"/>
        </w:rPr>
        <w:t>态环境分区管控调整方案（2023年）》已经</w:t>
      </w:r>
      <w:r>
        <w:rPr>
          <w:rFonts w:hint="eastAsia" w:ascii="Times New Roman" w:hAnsi="Times New Roman" w:eastAsia="方正仿宋_GBK"/>
          <w:sz w:val="32"/>
          <w:szCs w:val="32"/>
        </w:rPr>
        <w:t>西部科学城重庆高新区2024年第</w:t>
      </w:r>
      <w:r>
        <w:rPr>
          <w:rFonts w:hint="eastAsia" w:ascii="Times New Roman" w:hAnsi="Times New Roman" w:eastAsia="方正仿宋_GBK"/>
          <w:sz w:val="32"/>
          <w:szCs w:val="32"/>
          <w:lang w:val="en-US" w:eastAsia="zh-CN"/>
        </w:rPr>
        <w:t>11</w:t>
      </w:r>
      <w:r>
        <w:rPr>
          <w:rFonts w:hint="eastAsia" w:ascii="Times New Roman" w:hAnsi="Times New Roman" w:eastAsia="方正仿宋_GBK"/>
          <w:sz w:val="32"/>
          <w:szCs w:val="32"/>
        </w:rPr>
        <w:t>次常务会议审议通过</w:t>
      </w:r>
      <w:r>
        <w:rPr>
          <w:rFonts w:hint="default" w:ascii="Times New Roman" w:hAnsi="Times New Roman" w:eastAsia="方正仿宋_GBK" w:cs="Times New Roman"/>
          <w:sz w:val="32"/>
          <w:szCs w:val="32"/>
        </w:rPr>
        <w:t>，现印发给你们，请认真贯彻执行。</w:t>
      </w:r>
    </w:p>
    <w:p w14:paraId="67C0DC19">
      <w:pPr>
        <w:keepNext w:val="0"/>
        <w:keepLines w:val="0"/>
        <w:pageBreakBefore w:val="0"/>
        <w:kinsoku/>
        <w:overflowPunct/>
        <w:topLinePunct w:val="0"/>
        <w:autoSpaceDN/>
        <w:bidi w:val="0"/>
        <w:adjustRightInd w:val="0"/>
        <w:snapToGrid w:val="0"/>
        <w:spacing w:after="0" w:line="600" w:lineRule="exact"/>
        <w:ind w:right="0" w:rightChars="0"/>
        <w:jc w:val="right"/>
        <w:textAlignment w:val="auto"/>
        <w:rPr>
          <w:rFonts w:ascii="Times New Roman" w:hAnsi="Times New Roman" w:eastAsia="方正仿宋_GBK"/>
          <w:sz w:val="32"/>
          <w:szCs w:val="32"/>
        </w:rPr>
      </w:pPr>
    </w:p>
    <w:p w14:paraId="52CD7E16">
      <w:pPr>
        <w:keepNext w:val="0"/>
        <w:keepLines w:val="0"/>
        <w:pageBreakBefore w:val="0"/>
        <w:kinsoku/>
        <w:wordWrap w:val="0"/>
        <w:overflowPunct/>
        <w:topLinePunct w:val="0"/>
        <w:autoSpaceDN/>
        <w:bidi w:val="0"/>
        <w:adjustRightInd w:val="0"/>
        <w:snapToGrid w:val="0"/>
        <w:spacing w:after="0" w:line="600" w:lineRule="exact"/>
        <w:ind w:right="0" w:rightChars="0"/>
        <w:jc w:val="right"/>
        <w:textAlignment w:val="auto"/>
        <w:rPr>
          <w:rFonts w:ascii="Times New Roman" w:hAnsi="Times New Roman" w:eastAsia="方正仿宋_GBK"/>
          <w:sz w:val="32"/>
          <w:szCs w:val="32"/>
        </w:rPr>
      </w:pPr>
      <w:r>
        <w:rPr>
          <w:rFonts w:ascii="Times New Roman" w:hAnsi="Times New Roman" w:eastAsia="方正仿宋_GBK"/>
          <w:sz w:val="32"/>
          <w:szCs w:val="32"/>
        </w:rPr>
        <w:t>重庆高新区管委会</w:t>
      </w:r>
      <w:r>
        <w:rPr>
          <w:rFonts w:hint="eastAsia" w:ascii="Times New Roman" w:hAnsi="Times New Roman" w:eastAsia="方正仿宋_GBK"/>
          <w:sz w:val="32"/>
          <w:szCs w:val="32"/>
        </w:rPr>
        <w:t xml:space="preserve"> </w:t>
      </w:r>
      <w:r>
        <w:rPr>
          <w:rFonts w:ascii="Times New Roman" w:hAnsi="Times New Roman" w:eastAsia="方正仿宋_GBK"/>
          <w:sz w:val="32"/>
          <w:szCs w:val="32"/>
        </w:rPr>
        <w:t xml:space="preserve"> </w:t>
      </w:r>
    </w:p>
    <w:p w14:paraId="08599132">
      <w:pPr>
        <w:keepNext w:val="0"/>
        <w:keepLines w:val="0"/>
        <w:pageBreakBefore w:val="0"/>
        <w:widowControl/>
        <w:kinsoku/>
        <w:overflowPunct/>
        <w:topLinePunct w:val="0"/>
        <w:autoSpaceDN/>
        <w:bidi w:val="0"/>
        <w:adjustRightInd w:val="0"/>
        <w:snapToGrid w:val="0"/>
        <w:spacing w:after="0" w:line="600" w:lineRule="exact"/>
        <w:ind w:right="0" w:rightChars="0"/>
        <w:jc w:val="center"/>
        <w:textAlignment w:val="auto"/>
        <w:rPr>
          <w:rFonts w:ascii="Times New Roman" w:hAnsi="Times New Roman" w:eastAsia="方正仿宋_GBK"/>
          <w:sz w:val="32"/>
          <w:szCs w:val="32"/>
        </w:rPr>
      </w:pPr>
      <w:r>
        <w:rPr>
          <w:rFonts w:hint="eastAsia" w:ascii="Times New Roman" w:hAnsi="Times New Roman" w:eastAsia="方正仿宋_GBK"/>
          <w:sz w:val="32"/>
          <w:szCs w:val="32"/>
        </w:rPr>
        <w:t xml:space="preserve">                                   </w:t>
      </w:r>
      <w:r>
        <w:rPr>
          <w:rFonts w:ascii="Times New Roman" w:hAnsi="Times New Roman" w:eastAsia="方正仿宋_GBK"/>
          <w:sz w:val="32"/>
          <w:szCs w:val="32"/>
        </w:rPr>
        <w:t>202</w:t>
      </w:r>
      <w:r>
        <w:rPr>
          <w:rFonts w:hint="eastAsia" w:ascii="Times New Roman" w:hAnsi="Times New Roman" w:eastAsia="方正仿宋_GBK"/>
          <w:sz w:val="32"/>
          <w:szCs w:val="32"/>
        </w:rPr>
        <w:t>4</w:t>
      </w:r>
      <w:r>
        <w:rPr>
          <w:rFonts w:ascii="Times New Roman" w:hAnsi="Times New Roman" w:eastAsia="方正仿宋_GBK"/>
          <w:sz w:val="32"/>
          <w:szCs w:val="32"/>
        </w:rPr>
        <w:t>年</w:t>
      </w:r>
      <w:r>
        <w:rPr>
          <w:rFonts w:hint="eastAsia" w:ascii="Times New Roman" w:hAnsi="Times New Roman" w:eastAsia="方正仿宋_GBK"/>
          <w:sz w:val="32"/>
          <w:szCs w:val="32"/>
        </w:rPr>
        <w:t>6</w:t>
      </w:r>
      <w:r>
        <w:rPr>
          <w:rFonts w:ascii="Times New Roman" w:hAnsi="Times New Roman" w:eastAsia="方正仿宋_GBK"/>
          <w:sz w:val="32"/>
          <w:szCs w:val="32"/>
        </w:rPr>
        <w:t>月</w:t>
      </w:r>
      <w:r>
        <w:rPr>
          <w:rFonts w:hint="eastAsia" w:ascii="Times New Roman" w:hAnsi="Times New Roman" w:eastAsia="方正仿宋_GBK"/>
          <w:sz w:val="32"/>
          <w:szCs w:val="32"/>
          <w:lang w:val="en-US" w:eastAsia="zh-CN"/>
        </w:rPr>
        <w:t>14</w:t>
      </w:r>
      <w:r>
        <w:rPr>
          <w:rFonts w:ascii="Times New Roman" w:hAnsi="Times New Roman" w:eastAsia="方正仿宋_GBK"/>
          <w:sz w:val="32"/>
          <w:szCs w:val="32"/>
        </w:rPr>
        <w:t>日</w:t>
      </w:r>
    </w:p>
    <w:p w14:paraId="00C5FB19">
      <w:pPr>
        <w:keepNext w:val="0"/>
        <w:keepLines w:val="0"/>
        <w:pageBreakBefore w:val="0"/>
        <w:kinsoku/>
        <w:overflowPunct/>
        <w:topLinePunct w:val="0"/>
        <w:autoSpaceDN/>
        <w:bidi w:val="0"/>
        <w:adjustRightInd w:val="0"/>
        <w:snapToGrid w:val="0"/>
        <w:spacing w:after="0" w:line="600" w:lineRule="exact"/>
        <w:ind w:right="0" w:rightChars="0"/>
        <w:jc w:val="center"/>
        <w:textAlignment w:val="auto"/>
        <w:rPr>
          <w:rFonts w:ascii="Times New Roman" w:hAnsi="Times New Roman" w:eastAsia="方正小标宋_GBK" w:cs="Times New Roman"/>
          <w:sz w:val="44"/>
          <w:szCs w:val="44"/>
        </w:rPr>
      </w:pPr>
    </w:p>
    <w:p w14:paraId="2FDF56E2">
      <w:pPr>
        <w:keepNext w:val="0"/>
        <w:keepLines w:val="0"/>
        <w:pageBreakBefore w:val="0"/>
        <w:widowControl w:val="0"/>
        <w:kinsoku/>
        <w:overflowPunct/>
        <w:topLinePunct w:val="0"/>
        <w:autoSpaceDN/>
        <w:bidi w:val="0"/>
        <w:adjustRightInd w:val="0"/>
        <w:snapToGrid w:val="0"/>
        <w:spacing w:after="0" w:line="600" w:lineRule="exact"/>
        <w:ind w:right="0" w:rightChars="0" w:firstLine="630"/>
        <w:jc w:val="both"/>
        <w:textAlignment w:val="auto"/>
        <w:rPr>
          <w:rFonts w:hint="eastAsia" w:ascii="Times New Roman" w:hAnsi="Times New Roman" w:eastAsia="方正仿宋_GBK"/>
          <w:sz w:val="32"/>
          <w:szCs w:val="32"/>
          <w:lang w:val="zh-CN" w:eastAsia="zh-CN" w:bidi="ar"/>
        </w:rPr>
        <w:sectPr>
          <w:headerReference r:id="rId4" w:type="default"/>
          <w:footerReference r:id="rId6" w:type="default"/>
          <w:headerReference r:id="rId5" w:type="even"/>
          <w:footerReference r:id="rId7" w:type="even"/>
          <w:pgSz w:w="11906" w:h="16838"/>
          <w:pgMar w:top="2098" w:right="1531" w:bottom="1984" w:left="1531" w:header="850" w:footer="1531" w:gutter="0"/>
          <w:cols w:space="0" w:num="1"/>
          <w:docGrid w:linePitch="360" w:charSpace="0"/>
        </w:sectPr>
      </w:pPr>
      <w:r>
        <w:rPr>
          <w:rFonts w:hint="eastAsia" w:ascii="Times New Roman" w:hAnsi="Times New Roman" w:eastAsia="方正仿宋_GBK"/>
          <w:sz w:val="32"/>
          <w:szCs w:val="32"/>
        </w:rPr>
        <w:t>（此件公开发布</w:t>
      </w:r>
      <w:r>
        <w:rPr>
          <w:rFonts w:hint="eastAsia" w:ascii="Times New Roman" w:hAnsi="Times New Roman" w:eastAsia="方正仿宋_GBK"/>
          <w:sz w:val="32"/>
          <w:szCs w:val="32"/>
          <w:lang w:eastAsia="zh-CN"/>
        </w:rPr>
        <w:t>）</w:t>
      </w:r>
    </w:p>
    <w:p w14:paraId="47E8CEE8">
      <w:pPr>
        <w:spacing w:after="0" w:line="600" w:lineRule="exact"/>
        <w:jc w:val="center"/>
        <w:rPr>
          <w:rFonts w:hint="eastAsia" w:ascii="方正小标宋_GBK" w:hAnsi="方正小标宋_GBK" w:eastAsia="方正小标宋_GBK" w:cs="方正小标宋_GBK"/>
          <w:sz w:val="44"/>
          <w:szCs w:val="44"/>
        </w:rPr>
      </w:pPr>
      <w:r>
        <w:rPr>
          <w:rFonts w:ascii="Times New Roman" w:hAnsi="Times New Roman" w:eastAsia="方正小标宋_GBK"/>
          <w:sz w:val="44"/>
          <w:szCs w:val="44"/>
        </w:rPr>
        <w:t>西部科学城重庆高新区</w:t>
      </w:r>
      <w:r>
        <w:rPr>
          <w:rFonts w:hint="eastAsia" w:ascii="方正小标宋_GBK" w:hAnsi="方正小标宋_GBK" w:eastAsia="方正小标宋_GBK" w:cs="方正小标宋_GBK"/>
          <w:sz w:val="44"/>
          <w:szCs w:val="44"/>
        </w:rPr>
        <w:t>“三线一单”</w:t>
      </w:r>
    </w:p>
    <w:p w14:paraId="3320C197">
      <w:pPr>
        <w:spacing w:after="0" w:line="600" w:lineRule="exact"/>
        <w:jc w:val="center"/>
        <w:rPr>
          <w:rFonts w:ascii="Times New Roman" w:hAnsi="Times New Roman" w:eastAsia="方正小标宋_GBK"/>
          <w:sz w:val="44"/>
          <w:szCs w:val="44"/>
        </w:rPr>
      </w:pPr>
      <w:r>
        <w:rPr>
          <w:rFonts w:ascii="Times New Roman" w:hAnsi="Times New Roman" w:eastAsia="方正小标宋_GBK"/>
          <w:sz w:val="44"/>
          <w:szCs w:val="44"/>
        </w:rPr>
        <w:t>生态环境分区管控调整方案（2023年）</w:t>
      </w:r>
    </w:p>
    <w:p w14:paraId="52011C42">
      <w:pPr>
        <w:widowControl w:val="0"/>
        <w:snapToGrid/>
        <w:spacing w:after="0" w:line="600" w:lineRule="exact"/>
        <w:ind w:firstLine="640" w:firstLineChars="200"/>
        <w:jc w:val="both"/>
        <w:rPr>
          <w:rFonts w:ascii="方正仿宋_GBK" w:hAnsi="方正仿宋_GBK" w:eastAsia="方正仿宋_GBK" w:cs="方正仿宋_GBK"/>
          <w:sz w:val="32"/>
          <w:szCs w:val="32"/>
        </w:rPr>
      </w:pPr>
    </w:p>
    <w:p w14:paraId="607B7978">
      <w:pPr>
        <w:keepNext w:val="0"/>
        <w:keepLines w:val="0"/>
        <w:pageBreakBefore w:val="0"/>
        <w:widowControl w:val="0"/>
        <w:kinsoku/>
        <w:wordWrap/>
        <w:overflowPunct w:val="0"/>
        <w:topLinePunct w:val="0"/>
        <w:bidi w:val="0"/>
        <w:snapToGrid/>
        <w:spacing w:after="0" w:line="600" w:lineRule="exact"/>
        <w:ind w:firstLine="640" w:firstLineChars="200"/>
        <w:jc w:val="both"/>
        <w:textAlignment w:val="auto"/>
        <w:rPr>
          <w:rFonts w:ascii="方正仿宋_GBK" w:eastAsia="方正仿宋_GBK"/>
          <w:sz w:val="32"/>
          <w:szCs w:val="32"/>
        </w:rPr>
      </w:pPr>
      <w:r>
        <w:rPr>
          <w:rFonts w:hint="eastAsia" w:ascii="方正仿宋_GBK" w:hAnsi="方正仿宋_GBK" w:eastAsia="方正仿宋_GBK" w:cs="方正仿宋_GBK"/>
          <w:sz w:val="32"/>
          <w:szCs w:val="32"/>
        </w:rPr>
        <w:t>实施生态环境分区管控是坚持习近平生态文明思想，深入贯彻党的二十大精神，落实全国生态环境保护大会部署，以高水平保护推动高质量发展、创造高品质生活，努力建设人与自然和谐共生的美丽中国的重要举措。</w:t>
      </w:r>
      <w:r>
        <w:rPr>
          <w:rFonts w:ascii="Times New Roman" w:hAnsi="Times New Roman" w:eastAsia="方正仿宋_GBK"/>
          <w:sz w:val="32"/>
          <w:szCs w:val="32"/>
        </w:rPr>
        <w:t>2024年3月</w:t>
      </w:r>
      <w:r>
        <w:rPr>
          <w:rFonts w:hint="eastAsia" w:ascii="方正仿宋_GBK" w:hAnsi="方正仿宋_GBK" w:eastAsia="方正仿宋_GBK" w:cs="方正仿宋_GBK"/>
          <w:sz w:val="32"/>
          <w:szCs w:val="32"/>
        </w:rPr>
        <w:t>，《中共中央办公厅国务院办公厅关于加强生态环境分区管控的意见》明确全面推进生态环境分区管控制度。</w:t>
      </w:r>
      <w:r>
        <w:rPr>
          <w:rFonts w:hint="eastAsia" w:ascii="方正仿宋_GBK" w:eastAsia="方正仿宋_GBK"/>
          <w:sz w:val="32"/>
          <w:szCs w:val="32"/>
        </w:rPr>
        <w:t>为落实“十四五”相关规划要求，衔接最新国土空间规划和“三区三线”成果，结合重庆高新区实际，在原九龙坡区、沙坪坝区“三线一单”生态环境分区管控成果基础上，系统调整重庆高新区“三线一单”生态环境分区管控成果，提升成果时效性和针对性，形成与重庆高新区高质量发展和高水平保护相适应的“三线一单”生态环境分区管控体系。</w:t>
      </w:r>
    </w:p>
    <w:p w14:paraId="21B29CC6">
      <w:pPr>
        <w:keepNext w:val="0"/>
        <w:keepLines w:val="0"/>
        <w:pageBreakBefore w:val="0"/>
        <w:widowControl w:val="0"/>
        <w:kinsoku/>
        <w:wordWrap/>
        <w:overflowPunct w:val="0"/>
        <w:topLinePunct w:val="0"/>
        <w:autoSpaceDE w:val="0"/>
        <w:autoSpaceDN w:val="0"/>
        <w:bidi w:val="0"/>
        <w:snapToGrid/>
        <w:spacing w:after="0" w:line="600" w:lineRule="exact"/>
        <w:ind w:firstLine="640" w:firstLineChars="200"/>
        <w:jc w:val="both"/>
        <w:textAlignment w:val="auto"/>
        <w:rPr>
          <w:rFonts w:ascii="方正黑体_GBK" w:eastAsia="方正黑体_GBK"/>
          <w:sz w:val="32"/>
          <w:szCs w:val="32"/>
          <w:lang w:val="zh-CN"/>
        </w:rPr>
      </w:pPr>
      <w:r>
        <w:rPr>
          <w:rFonts w:hint="eastAsia" w:ascii="方正黑体_GBK" w:eastAsia="方正黑体_GBK"/>
          <w:sz w:val="32"/>
          <w:szCs w:val="32"/>
          <w:lang w:val="zh-CN"/>
        </w:rPr>
        <w:t>一、调整原则</w:t>
      </w:r>
    </w:p>
    <w:p w14:paraId="75AA5620">
      <w:pPr>
        <w:keepNext w:val="0"/>
        <w:keepLines w:val="0"/>
        <w:pageBreakBefore w:val="0"/>
        <w:widowControl w:val="0"/>
        <w:kinsoku/>
        <w:wordWrap/>
        <w:overflowPunct w:val="0"/>
        <w:topLinePunct w:val="0"/>
        <w:bidi w:val="0"/>
        <w:adjustRightInd/>
        <w:snapToGrid/>
        <w:spacing w:after="0" w:line="600" w:lineRule="exact"/>
        <w:ind w:firstLine="640" w:firstLineChars="200"/>
        <w:jc w:val="both"/>
        <w:textAlignment w:val="auto"/>
        <w:rPr>
          <w:rFonts w:eastAsia="方正仿宋_GBK"/>
          <w:sz w:val="32"/>
          <w:szCs w:val="32"/>
        </w:rPr>
      </w:pPr>
      <w:r>
        <w:rPr>
          <w:rFonts w:hint="eastAsia" w:ascii="方正楷体_GBK" w:hAnsi="方正楷体_GBK" w:eastAsia="方正楷体_GBK" w:cs="方正楷体_GBK"/>
          <w:sz w:val="32"/>
          <w:szCs w:val="32"/>
        </w:rPr>
        <w:t>（一）坚持底线约束。</w:t>
      </w:r>
      <w:r>
        <w:rPr>
          <w:rFonts w:hint="eastAsia" w:eastAsia="方正仿宋_GBK"/>
          <w:sz w:val="32"/>
          <w:szCs w:val="32"/>
        </w:rPr>
        <w:t>坚持以生态功能不降低、环境质量不下降、资源环境承载能力不突破为底线，落实生态环境分区管控硬约束，严格禁止降低要求、弱化管控的调整。</w:t>
      </w:r>
    </w:p>
    <w:p w14:paraId="55FE2AD8">
      <w:pPr>
        <w:keepNext w:val="0"/>
        <w:keepLines w:val="0"/>
        <w:pageBreakBefore w:val="0"/>
        <w:widowControl w:val="0"/>
        <w:kinsoku/>
        <w:wordWrap/>
        <w:overflowPunct w:val="0"/>
        <w:topLinePunct w:val="0"/>
        <w:autoSpaceDE/>
        <w:autoSpaceDN/>
        <w:bidi w:val="0"/>
        <w:adjustRightInd w:val="0"/>
        <w:snapToGrid w:val="0"/>
        <w:spacing w:after="0" w:line="600" w:lineRule="exact"/>
        <w:ind w:firstLine="640" w:firstLineChars="200"/>
        <w:jc w:val="both"/>
        <w:textAlignment w:val="auto"/>
        <w:rPr>
          <w:rFonts w:eastAsia="方正仿宋_GBK"/>
          <w:sz w:val="32"/>
          <w:szCs w:val="32"/>
        </w:rPr>
      </w:pPr>
      <w:r>
        <w:rPr>
          <w:rFonts w:hint="eastAsia" w:ascii="方正楷体_GBK" w:hAnsi="方正楷体_GBK" w:eastAsia="方正楷体_GBK" w:cs="方正楷体_GBK"/>
          <w:sz w:val="32"/>
          <w:szCs w:val="32"/>
        </w:rPr>
        <w:t>（二）强化空间管控。</w:t>
      </w:r>
      <w:r>
        <w:rPr>
          <w:rFonts w:hint="eastAsia" w:eastAsia="方正仿宋_GBK"/>
          <w:sz w:val="32"/>
          <w:szCs w:val="32"/>
        </w:rPr>
        <w:t>结合“十四五”环境管理目标和国土空间规划成果，优化调整生态保护红线及一般生态空间、环境质量底线、资源利用上线和生态环境管控要求，完善以环境管控单元为基础的空间管控体系。</w:t>
      </w:r>
    </w:p>
    <w:p w14:paraId="6D4FE4C3">
      <w:pPr>
        <w:keepNext w:val="0"/>
        <w:keepLines w:val="0"/>
        <w:pageBreakBefore w:val="0"/>
        <w:widowControl w:val="0"/>
        <w:kinsoku/>
        <w:wordWrap/>
        <w:overflowPunct w:val="0"/>
        <w:topLinePunct w:val="0"/>
        <w:bidi w:val="0"/>
        <w:adjustRightInd/>
        <w:snapToGrid/>
        <w:spacing w:after="0" w:line="600" w:lineRule="exact"/>
        <w:ind w:firstLine="640" w:firstLineChars="200"/>
        <w:jc w:val="both"/>
        <w:textAlignment w:val="auto"/>
        <w:rPr>
          <w:rFonts w:eastAsia="方正仿宋_GBK"/>
          <w:sz w:val="32"/>
          <w:szCs w:val="32"/>
        </w:rPr>
      </w:pPr>
      <w:r>
        <w:rPr>
          <w:rFonts w:hint="eastAsia" w:ascii="方正楷体_GBK" w:hAnsi="方正楷体_GBK" w:eastAsia="方正楷体_GBK" w:cs="方正楷体_GBK"/>
          <w:sz w:val="32"/>
          <w:szCs w:val="32"/>
        </w:rPr>
        <w:t>（三）突出分类准入。</w:t>
      </w:r>
      <w:r>
        <w:rPr>
          <w:rFonts w:hint="eastAsia" w:eastAsia="方正仿宋_GBK"/>
          <w:sz w:val="32"/>
          <w:szCs w:val="32"/>
        </w:rPr>
        <w:t>以调整后的环境管控单元为单位，从空间布局约束、污染物排放管控、环境风险防控、资源利用效率等维度，优化调整生态环境准入清单，强化刚性约束，突出生态环境准入清单的针对性、有效性、实用性和可操作性。</w:t>
      </w:r>
    </w:p>
    <w:p w14:paraId="7010AB3D">
      <w:pPr>
        <w:keepNext w:val="0"/>
        <w:keepLines w:val="0"/>
        <w:pageBreakBefore w:val="0"/>
        <w:widowControl w:val="0"/>
        <w:kinsoku/>
        <w:wordWrap/>
        <w:overflowPunct w:val="0"/>
        <w:topLinePunct w:val="0"/>
        <w:autoSpaceDE w:val="0"/>
        <w:autoSpaceDN w:val="0"/>
        <w:bidi w:val="0"/>
        <w:snapToGrid/>
        <w:spacing w:after="0" w:line="600" w:lineRule="exact"/>
        <w:ind w:firstLine="640" w:firstLineChars="200"/>
        <w:jc w:val="both"/>
        <w:textAlignment w:val="auto"/>
        <w:rPr>
          <w:rFonts w:ascii="方正黑体_GBK" w:eastAsia="方正黑体_GBK"/>
          <w:sz w:val="32"/>
          <w:szCs w:val="32"/>
          <w:lang w:val="zh-CN"/>
        </w:rPr>
      </w:pPr>
      <w:r>
        <w:rPr>
          <w:rFonts w:hint="eastAsia" w:ascii="方正黑体_GBK" w:eastAsia="方正黑体_GBK"/>
          <w:sz w:val="32"/>
          <w:szCs w:val="32"/>
          <w:lang w:val="zh-CN"/>
        </w:rPr>
        <w:t>二、总体目标</w:t>
      </w:r>
    </w:p>
    <w:p w14:paraId="07E314BD">
      <w:pPr>
        <w:keepNext w:val="0"/>
        <w:keepLines w:val="0"/>
        <w:pageBreakBefore w:val="0"/>
        <w:widowControl w:val="0"/>
        <w:kinsoku/>
        <w:wordWrap/>
        <w:overflowPunct w:val="0"/>
        <w:topLinePunct w:val="0"/>
        <w:bidi w:val="0"/>
        <w:adjustRightInd/>
        <w:snapToGrid/>
        <w:spacing w:after="0" w:line="600" w:lineRule="exact"/>
        <w:ind w:firstLine="640" w:firstLineChars="200"/>
        <w:jc w:val="both"/>
        <w:textAlignment w:val="auto"/>
        <w:rPr>
          <w:rFonts w:ascii="Times New Roman" w:hAnsi="Times New Roman" w:eastAsia="方正仿宋_GBK"/>
          <w:sz w:val="32"/>
          <w:szCs w:val="32"/>
        </w:rPr>
      </w:pPr>
      <w:r>
        <w:rPr>
          <w:rFonts w:ascii="Times New Roman" w:hAnsi="Times New Roman" w:eastAsia="方正仿宋_GBK"/>
          <w:sz w:val="32"/>
          <w:szCs w:val="32"/>
        </w:rPr>
        <w:t>到2025年，产业结构调整深入推进，生产生活方式绿色转型成效显著，环境质量持续改善，主要污染物排放总量持续减少，环境风险得到有效管控，生态系统质量和稳定性进一步提升，城乡人居环境明显改善，生态环境治理体系和治理能力现代化水平明显提升，人与自然和谐共生的高品质生活宜居区建设取得重大进展。</w:t>
      </w:r>
    </w:p>
    <w:p w14:paraId="68509173">
      <w:pPr>
        <w:keepNext w:val="0"/>
        <w:keepLines w:val="0"/>
        <w:pageBreakBefore w:val="0"/>
        <w:widowControl w:val="0"/>
        <w:kinsoku/>
        <w:wordWrap/>
        <w:overflowPunct w:val="0"/>
        <w:topLinePunct w:val="0"/>
        <w:bidi w:val="0"/>
        <w:adjustRightInd/>
        <w:snapToGrid/>
        <w:spacing w:after="0" w:line="600" w:lineRule="exact"/>
        <w:ind w:firstLine="640" w:firstLineChars="200"/>
        <w:jc w:val="both"/>
        <w:textAlignment w:val="auto"/>
        <w:rPr>
          <w:rFonts w:ascii="Times New Roman" w:hAnsi="Times New Roman" w:eastAsia="方正仿宋_GBK"/>
          <w:sz w:val="32"/>
          <w:szCs w:val="32"/>
        </w:rPr>
      </w:pPr>
      <w:r>
        <w:rPr>
          <w:rFonts w:ascii="Times New Roman" w:hAnsi="Times New Roman" w:eastAsia="方正仿宋_GBK"/>
          <w:sz w:val="32"/>
          <w:szCs w:val="32"/>
        </w:rPr>
        <w:t>到2035年，广泛形成绿色生产生活方式，碳排放达峰后稳中有降，生态环境根本好转，全面建成人与自然和谐共生的高品质生活宜居区。</w:t>
      </w:r>
    </w:p>
    <w:p w14:paraId="460C6B39">
      <w:pPr>
        <w:keepNext w:val="0"/>
        <w:keepLines w:val="0"/>
        <w:pageBreakBefore w:val="0"/>
        <w:widowControl w:val="0"/>
        <w:kinsoku/>
        <w:wordWrap/>
        <w:overflowPunct w:val="0"/>
        <w:topLinePunct w:val="0"/>
        <w:autoSpaceDE w:val="0"/>
        <w:autoSpaceDN w:val="0"/>
        <w:bidi w:val="0"/>
        <w:snapToGrid/>
        <w:spacing w:after="0" w:line="600" w:lineRule="exact"/>
        <w:ind w:firstLine="640" w:firstLineChars="200"/>
        <w:jc w:val="both"/>
        <w:textAlignment w:val="auto"/>
        <w:rPr>
          <w:rFonts w:ascii="方正黑体_GBK" w:eastAsia="方正黑体_GBK"/>
          <w:sz w:val="32"/>
          <w:szCs w:val="32"/>
          <w:lang w:val="zh-CN"/>
        </w:rPr>
      </w:pPr>
      <w:r>
        <w:rPr>
          <w:rFonts w:hint="eastAsia" w:ascii="方正黑体_GBK" w:eastAsia="方正黑体_GBK"/>
          <w:sz w:val="32"/>
          <w:szCs w:val="32"/>
          <w:lang w:val="zh-CN"/>
        </w:rPr>
        <w:t>三、调整要求</w:t>
      </w:r>
    </w:p>
    <w:p w14:paraId="2E3598C7">
      <w:pPr>
        <w:keepNext w:val="0"/>
        <w:keepLines w:val="0"/>
        <w:pageBreakBefore w:val="0"/>
        <w:widowControl w:val="0"/>
        <w:kinsoku/>
        <w:wordWrap/>
        <w:overflowPunct w:val="0"/>
        <w:topLinePunct w:val="0"/>
        <w:bidi w:val="0"/>
        <w:adjustRightInd/>
        <w:snapToGrid/>
        <w:spacing w:after="0" w:line="600" w:lineRule="exact"/>
        <w:ind w:firstLine="640" w:firstLineChars="200"/>
        <w:jc w:val="both"/>
        <w:textAlignment w:val="auto"/>
        <w:rPr>
          <w:rFonts w:eastAsia="方正仿宋_GBK"/>
          <w:sz w:val="32"/>
          <w:szCs w:val="32"/>
        </w:rPr>
      </w:pPr>
      <w:r>
        <w:rPr>
          <w:rFonts w:hint="eastAsia" w:ascii="方正楷体_GBK" w:hAnsi="方正楷体_GBK" w:eastAsia="方正楷体_GBK" w:cs="方正楷体_GBK"/>
          <w:sz w:val="32"/>
          <w:szCs w:val="32"/>
        </w:rPr>
        <w:t>（一）环境管控单元调整要求。</w:t>
      </w:r>
      <w:r>
        <w:rPr>
          <w:rFonts w:hint="eastAsia" w:eastAsia="方正仿宋_GBK"/>
          <w:sz w:val="32"/>
          <w:szCs w:val="32"/>
        </w:rPr>
        <w:t>以系统化集成为基础，基于生态保护红线与一般生态空间、水环境管控分区、大气环境管控分区、土壤环境风险管控分区、资源管控分区等调整结果，科学调整优先、重点两类环境管控单元，分区分类实施精细化管控，将部分重点管控单元进一步细分。原则上优先保护单元的空间格局应保持基本稳定，重点管控单元的空间格局应与环境治理格局相匹配。</w:t>
      </w:r>
    </w:p>
    <w:p w14:paraId="312F1D2C">
      <w:pPr>
        <w:keepNext w:val="0"/>
        <w:keepLines w:val="0"/>
        <w:pageBreakBefore w:val="0"/>
        <w:widowControl w:val="0"/>
        <w:kinsoku/>
        <w:wordWrap/>
        <w:overflowPunct w:val="0"/>
        <w:topLinePunct w:val="0"/>
        <w:bidi w:val="0"/>
        <w:adjustRightInd/>
        <w:snapToGrid/>
        <w:spacing w:after="0" w:line="600" w:lineRule="exact"/>
        <w:ind w:firstLine="640" w:firstLineChars="200"/>
        <w:jc w:val="both"/>
        <w:textAlignment w:val="auto"/>
        <w:rPr>
          <w:rFonts w:eastAsia="方正仿宋_GBK"/>
          <w:sz w:val="32"/>
          <w:szCs w:val="32"/>
        </w:rPr>
      </w:pPr>
      <w:r>
        <w:rPr>
          <w:rFonts w:hint="eastAsia" w:ascii="方正楷体_GBK" w:hAnsi="方正楷体_GBK" w:eastAsia="方正楷体_GBK" w:cs="方正楷体_GBK"/>
          <w:sz w:val="32"/>
          <w:szCs w:val="32"/>
        </w:rPr>
        <w:t>（二）生态环境准入清单调整要求。</w:t>
      </w:r>
      <w:r>
        <w:rPr>
          <w:rFonts w:hint="eastAsia" w:eastAsia="方正仿宋_GBK"/>
          <w:sz w:val="32"/>
          <w:szCs w:val="32"/>
        </w:rPr>
        <w:t>生态环境准入清单管理要求应保持一定的延续性，保持“市级总体管控要求—区县总体管控要求—单元管控要求”三个层级框架，以区域生态环境质量改善为核心，聚焦生态环境准入清单实施中发现的问题，坚持目标和问题导向，调整高新区生态环境准入清单。产业准入和生态环境管理相关的法律法规、政策文件等新增、修订、废止的，依法依规同步调整生态环境准入清单。环境要素分区管控要求调整的，同时调整生态环境准入清单。</w:t>
      </w:r>
    </w:p>
    <w:p w14:paraId="74706D76">
      <w:pPr>
        <w:keepNext w:val="0"/>
        <w:keepLines w:val="0"/>
        <w:pageBreakBefore w:val="0"/>
        <w:widowControl w:val="0"/>
        <w:kinsoku/>
        <w:wordWrap/>
        <w:overflowPunct w:val="0"/>
        <w:topLinePunct w:val="0"/>
        <w:autoSpaceDE w:val="0"/>
        <w:autoSpaceDN w:val="0"/>
        <w:bidi w:val="0"/>
        <w:snapToGrid/>
        <w:spacing w:after="0" w:line="600" w:lineRule="exact"/>
        <w:ind w:firstLine="640" w:firstLineChars="200"/>
        <w:jc w:val="both"/>
        <w:textAlignment w:val="auto"/>
        <w:rPr>
          <w:rFonts w:ascii="方正黑体_GBK" w:eastAsia="方正黑体_GBK"/>
          <w:sz w:val="32"/>
          <w:szCs w:val="32"/>
          <w:lang w:val="zh-CN"/>
        </w:rPr>
      </w:pPr>
      <w:r>
        <w:rPr>
          <w:rFonts w:hint="eastAsia" w:ascii="方正黑体_GBK" w:eastAsia="方正黑体_GBK"/>
          <w:sz w:val="32"/>
          <w:szCs w:val="32"/>
          <w:lang w:val="zh-CN"/>
        </w:rPr>
        <w:t>四、调整结果</w:t>
      </w:r>
    </w:p>
    <w:p w14:paraId="640CE578">
      <w:pPr>
        <w:pStyle w:val="2"/>
        <w:keepNext w:val="0"/>
        <w:keepLines w:val="0"/>
        <w:pageBreakBefore w:val="0"/>
        <w:widowControl w:val="0"/>
        <w:kinsoku/>
        <w:wordWrap/>
        <w:overflowPunct w:val="0"/>
        <w:topLinePunct w:val="0"/>
        <w:bidi w:val="0"/>
        <w:adjustRightInd/>
        <w:snapToGrid/>
        <w:spacing w:after="0" w:line="600" w:lineRule="exact"/>
        <w:ind w:firstLine="640" w:firstLineChars="200"/>
        <w:jc w:val="both"/>
        <w:textAlignment w:val="auto"/>
        <w:rPr>
          <w:rFonts w:ascii="Times New Roman" w:hAnsi="Times New Roman" w:eastAsia="方正仿宋_GBK"/>
          <w:sz w:val="32"/>
          <w:szCs w:val="32"/>
        </w:rPr>
      </w:pPr>
      <w:r>
        <w:rPr>
          <w:rFonts w:hint="eastAsia" w:ascii="方正楷体_GBK" w:hAnsi="方正楷体_GBK" w:eastAsia="方正楷体_GBK" w:cs="方正楷体_GBK"/>
          <w:sz w:val="32"/>
          <w:szCs w:val="32"/>
        </w:rPr>
        <w:t>（一）环境管控单元调整结果。</w:t>
      </w:r>
      <w:r>
        <w:rPr>
          <w:rFonts w:ascii="Times New Roman" w:hAnsi="Times New Roman" w:eastAsia="方正仿宋_GBK"/>
          <w:sz w:val="32"/>
          <w:szCs w:val="32"/>
        </w:rPr>
        <w:t>调整后，</w:t>
      </w:r>
      <w:r>
        <w:rPr>
          <w:rFonts w:hint="eastAsia" w:ascii="Times New Roman" w:hAnsi="Times New Roman" w:eastAsia="方正仿宋_GBK"/>
          <w:sz w:val="32"/>
          <w:szCs w:val="32"/>
        </w:rPr>
        <w:t>重庆</w:t>
      </w:r>
      <w:r>
        <w:rPr>
          <w:rFonts w:ascii="Times New Roman" w:hAnsi="Times New Roman" w:eastAsia="方正仿宋_GBK"/>
          <w:sz w:val="32"/>
          <w:szCs w:val="32"/>
        </w:rPr>
        <w:t>高新区环境管控单元由13个调整为12个。</w:t>
      </w:r>
    </w:p>
    <w:p w14:paraId="0833E8AC">
      <w:pPr>
        <w:keepNext w:val="0"/>
        <w:keepLines w:val="0"/>
        <w:pageBreakBefore w:val="0"/>
        <w:widowControl w:val="0"/>
        <w:kinsoku/>
        <w:wordWrap/>
        <w:overflowPunct w:val="0"/>
        <w:topLinePunct w:val="0"/>
        <w:bidi w:val="0"/>
        <w:adjustRightInd/>
        <w:snapToGrid/>
        <w:spacing w:after="0" w:line="600" w:lineRule="exact"/>
        <w:ind w:firstLine="640" w:firstLineChars="200"/>
        <w:jc w:val="both"/>
        <w:textAlignment w:val="auto"/>
        <w:rPr>
          <w:rFonts w:ascii="Times New Roman" w:hAnsi="Times New Roman" w:eastAsia="方正仿宋_GBK"/>
          <w:kern w:val="2"/>
          <w:sz w:val="32"/>
          <w:szCs w:val="32"/>
        </w:rPr>
      </w:pPr>
      <w:r>
        <w:rPr>
          <w:rFonts w:hint="eastAsia" w:ascii="Times New Roman" w:hAnsi="Times New Roman" w:eastAsia="方正仿宋_GBK"/>
          <w:kern w:val="2"/>
          <w:sz w:val="32"/>
          <w:szCs w:val="32"/>
        </w:rPr>
        <w:t>优先保护单元：由</w:t>
      </w:r>
      <w:r>
        <w:rPr>
          <w:rFonts w:ascii="Times New Roman" w:hAnsi="Times New Roman" w:eastAsia="方正仿宋_GBK"/>
          <w:kern w:val="2"/>
          <w:sz w:val="32"/>
          <w:szCs w:val="32"/>
        </w:rPr>
        <w:t>9</w:t>
      </w:r>
      <w:r>
        <w:rPr>
          <w:rFonts w:hint="eastAsia" w:ascii="Times New Roman" w:hAnsi="Times New Roman" w:eastAsia="方正仿宋_GBK"/>
          <w:kern w:val="2"/>
          <w:sz w:val="32"/>
          <w:szCs w:val="32"/>
        </w:rPr>
        <w:t>个调整为</w:t>
      </w:r>
      <w:r>
        <w:rPr>
          <w:rFonts w:ascii="Times New Roman" w:hAnsi="Times New Roman" w:eastAsia="方正仿宋_GBK"/>
          <w:kern w:val="2"/>
          <w:sz w:val="32"/>
          <w:szCs w:val="32"/>
        </w:rPr>
        <w:t>8</w:t>
      </w:r>
      <w:r>
        <w:rPr>
          <w:rFonts w:hint="eastAsia" w:ascii="Times New Roman" w:hAnsi="Times New Roman" w:eastAsia="方正仿宋_GBK"/>
          <w:kern w:val="2"/>
          <w:sz w:val="32"/>
          <w:szCs w:val="32"/>
        </w:rPr>
        <w:t>个，面积占比由</w:t>
      </w:r>
      <w:r>
        <w:rPr>
          <w:rFonts w:ascii="Times New Roman" w:hAnsi="Times New Roman" w:eastAsia="方正仿宋_GBK"/>
          <w:kern w:val="2"/>
          <w:sz w:val="32"/>
          <w:szCs w:val="32"/>
        </w:rPr>
        <w:t>21.5</w:t>
      </w:r>
      <w:r>
        <w:rPr>
          <w:rFonts w:hint="eastAsia" w:ascii="Times New Roman" w:hAnsi="Times New Roman" w:eastAsia="方正仿宋_GBK"/>
          <w:kern w:val="2"/>
          <w:sz w:val="32"/>
          <w:szCs w:val="32"/>
        </w:rPr>
        <w:t>%调整为</w:t>
      </w:r>
      <w:r>
        <w:rPr>
          <w:rFonts w:ascii="Times New Roman" w:hAnsi="Times New Roman" w:eastAsia="方正仿宋_GBK"/>
          <w:kern w:val="2"/>
          <w:sz w:val="32"/>
          <w:szCs w:val="32"/>
        </w:rPr>
        <w:t>2</w:t>
      </w:r>
      <w:r>
        <w:rPr>
          <w:rFonts w:hint="eastAsia" w:ascii="Times New Roman" w:hAnsi="Times New Roman" w:eastAsia="方正仿宋_GBK"/>
          <w:kern w:val="2"/>
          <w:sz w:val="32"/>
          <w:szCs w:val="32"/>
        </w:rPr>
        <w:t>5.8%，较上一轮增加4</w:t>
      </w:r>
      <w:r>
        <w:rPr>
          <w:rFonts w:ascii="Times New Roman" w:hAnsi="Times New Roman" w:eastAsia="方正仿宋_GBK"/>
          <w:kern w:val="2"/>
          <w:sz w:val="32"/>
          <w:szCs w:val="32"/>
        </w:rPr>
        <w:t>.3</w:t>
      </w:r>
      <w:r>
        <w:rPr>
          <w:rFonts w:hint="eastAsia" w:ascii="Times New Roman" w:hAnsi="Times New Roman" w:eastAsia="方正仿宋_GBK"/>
          <w:kern w:val="2"/>
          <w:sz w:val="32"/>
          <w:szCs w:val="32"/>
        </w:rPr>
        <w:t>%。</w:t>
      </w:r>
    </w:p>
    <w:p w14:paraId="766F4679">
      <w:pPr>
        <w:keepNext w:val="0"/>
        <w:keepLines w:val="0"/>
        <w:pageBreakBefore w:val="0"/>
        <w:widowControl w:val="0"/>
        <w:kinsoku/>
        <w:wordWrap/>
        <w:overflowPunct w:val="0"/>
        <w:topLinePunct w:val="0"/>
        <w:bidi w:val="0"/>
        <w:adjustRightInd/>
        <w:snapToGrid/>
        <w:spacing w:after="0" w:line="600" w:lineRule="exact"/>
        <w:ind w:firstLine="640" w:firstLineChars="200"/>
        <w:jc w:val="both"/>
        <w:textAlignment w:val="auto"/>
        <w:rPr>
          <w:rFonts w:ascii="Times New Roman" w:hAnsi="Times New Roman" w:eastAsia="方正仿宋_GBK"/>
          <w:kern w:val="2"/>
          <w:sz w:val="32"/>
          <w:szCs w:val="32"/>
        </w:rPr>
      </w:pPr>
      <w:r>
        <w:rPr>
          <w:rFonts w:hint="eastAsia" w:ascii="Times New Roman" w:hAnsi="Times New Roman" w:eastAsia="方正仿宋_GBK"/>
          <w:kern w:val="2"/>
          <w:sz w:val="32"/>
          <w:szCs w:val="32"/>
        </w:rPr>
        <w:t>重点管控单元：4个，与上一轮个数保持不变，面积占比由78.5%调整为74.2%，较上一轮减少4.3%。</w:t>
      </w:r>
    </w:p>
    <w:p w14:paraId="5D0EE6FC">
      <w:pPr>
        <w:pStyle w:val="2"/>
        <w:keepNext w:val="0"/>
        <w:keepLines w:val="0"/>
        <w:pageBreakBefore w:val="0"/>
        <w:widowControl w:val="0"/>
        <w:kinsoku/>
        <w:wordWrap/>
        <w:overflowPunct w:val="0"/>
        <w:topLinePunct w:val="0"/>
        <w:bidi w:val="0"/>
        <w:adjustRightInd/>
        <w:snapToGrid/>
        <w:spacing w:after="0" w:line="600" w:lineRule="exact"/>
        <w:ind w:firstLine="640" w:firstLineChars="200"/>
        <w:jc w:val="both"/>
        <w:textAlignment w:val="auto"/>
        <w:rPr>
          <w:rFonts w:ascii="Times New Roman" w:hAnsi="Times New Roman" w:eastAsia="方正仿宋_GBK"/>
          <w:sz w:val="32"/>
          <w:szCs w:val="32"/>
        </w:rPr>
      </w:pPr>
      <w:r>
        <w:rPr>
          <w:rFonts w:hint="eastAsia" w:ascii="方正楷体_GBK" w:hAnsi="方正楷体_GBK" w:eastAsia="方正楷体_GBK" w:cs="方正楷体_GBK"/>
          <w:sz w:val="32"/>
          <w:szCs w:val="32"/>
        </w:rPr>
        <w:t>（二）生态环境准入清单调整结果。</w:t>
      </w:r>
      <w:r>
        <w:rPr>
          <w:rFonts w:ascii="Times New Roman" w:hAnsi="Times New Roman" w:eastAsia="方正仿宋_GBK"/>
          <w:sz w:val="32"/>
          <w:szCs w:val="32"/>
        </w:rPr>
        <w:t>调整后，重点管控单元在市级总体管控要求基础上进一步筛选、细化、优化，针对高新区实际情况提出了生态环境准入清单总体管控要求，共19条。</w:t>
      </w:r>
    </w:p>
    <w:p w14:paraId="32D90893">
      <w:pPr>
        <w:pStyle w:val="2"/>
        <w:keepNext w:val="0"/>
        <w:keepLines w:val="0"/>
        <w:pageBreakBefore w:val="0"/>
        <w:widowControl w:val="0"/>
        <w:kinsoku/>
        <w:wordWrap/>
        <w:overflowPunct w:val="0"/>
        <w:topLinePunct w:val="0"/>
        <w:bidi w:val="0"/>
        <w:adjustRightInd/>
        <w:snapToGrid/>
        <w:spacing w:after="0" w:line="600" w:lineRule="exact"/>
        <w:ind w:firstLine="640" w:firstLineChars="200"/>
        <w:jc w:val="both"/>
        <w:textAlignment w:val="auto"/>
        <w:rPr>
          <w:rFonts w:ascii="Times New Roman" w:hAnsi="Times New Roman" w:eastAsia="方正仿宋_GBK"/>
          <w:sz w:val="32"/>
          <w:szCs w:val="32"/>
        </w:rPr>
      </w:pPr>
      <w:r>
        <w:rPr>
          <w:rFonts w:ascii="Times New Roman" w:hAnsi="Times New Roman" w:eastAsia="方正仿宋_GBK"/>
          <w:sz w:val="32"/>
          <w:szCs w:val="32"/>
        </w:rPr>
        <w:t>结合调整后环境管控单元的生态环境主要特征、突出问题和环境质量目标，以改善生态环境质量为导向，提出了具有针对性、可操作性的管控要求。</w:t>
      </w:r>
    </w:p>
    <w:p w14:paraId="0CA27AE8">
      <w:pPr>
        <w:pStyle w:val="12"/>
        <w:widowControl w:val="0"/>
        <w:adjustRightInd/>
        <w:snapToGrid/>
        <w:spacing w:after="0" w:line="600" w:lineRule="exact"/>
        <w:ind w:firstLine="422" w:firstLineChars="132"/>
        <w:rPr>
          <w:rFonts w:ascii="Times New Roman" w:hAnsi="Times New Roman" w:eastAsia="方正仿宋_GBK"/>
          <w:sz w:val="32"/>
          <w:szCs w:val="32"/>
        </w:rPr>
      </w:pPr>
    </w:p>
    <w:p w14:paraId="292CA974">
      <w:pPr>
        <w:pStyle w:val="3"/>
        <w:widowControl w:val="0"/>
        <w:adjustRightInd/>
        <w:snapToGrid/>
        <w:spacing w:after="0" w:line="600" w:lineRule="exact"/>
        <w:ind w:left="0" w:leftChars="0" w:firstLine="640" w:firstLineChars="200"/>
        <w:jc w:val="both"/>
        <w:rPr>
          <w:rFonts w:hint="default" w:ascii="Times New Roman" w:hAnsi="Times New Roman" w:eastAsia="方正仿宋_GBK" w:cs="Times New Roman"/>
          <w:kern w:val="0"/>
          <w:szCs w:val="32"/>
          <w:lang w:bidi="ar"/>
        </w:rPr>
      </w:pPr>
      <w:r>
        <w:rPr>
          <w:rFonts w:ascii="Times New Roman" w:hAnsi="Times New Roman" w:eastAsia="方正仿宋_GBK"/>
          <w:sz w:val="32"/>
          <w:szCs w:val="32"/>
        </w:rPr>
        <w:t>附件：</w:t>
      </w:r>
      <w:r>
        <w:rPr>
          <w:rFonts w:hint="default" w:ascii="Times New Roman" w:hAnsi="Times New Roman" w:eastAsia="方正仿宋_GBK" w:cs="Times New Roman"/>
          <w:kern w:val="0"/>
          <w:szCs w:val="32"/>
          <w:lang w:bidi="ar"/>
        </w:rPr>
        <w:t>1.环境管控单元图（2023年）</w:t>
      </w:r>
    </w:p>
    <w:p w14:paraId="1B8F5266">
      <w:pPr>
        <w:pStyle w:val="3"/>
        <w:keepNext w:val="0"/>
        <w:keepLines w:val="0"/>
        <w:pageBreakBefore w:val="0"/>
        <w:widowControl w:val="0"/>
        <w:kinsoku/>
        <w:wordWrap/>
        <w:overflowPunct/>
        <w:topLinePunct w:val="0"/>
        <w:autoSpaceDE/>
        <w:autoSpaceDN/>
        <w:bidi w:val="0"/>
        <w:adjustRightInd/>
        <w:snapToGrid/>
        <w:spacing w:after="0" w:line="600" w:lineRule="exact"/>
        <w:ind w:left="0" w:leftChars="0" w:firstLine="1600" w:firstLineChars="500"/>
        <w:jc w:val="both"/>
        <w:textAlignment w:val="auto"/>
        <w:rPr>
          <w:rFonts w:hint="default" w:ascii="Times New Roman" w:hAnsi="Times New Roman" w:eastAsia="方正仿宋_GBK" w:cs="Times New Roman"/>
          <w:kern w:val="0"/>
          <w:szCs w:val="32"/>
          <w:lang w:bidi="ar"/>
        </w:rPr>
      </w:pPr>
      <w:r>
        <w:rPr>
          <w:rFonts w:hint="default" w:ascii="Times New Roman" w:hAnsi="Times New Roman" w:eastAsia="方正仿宋_GBK" w:cs="Times New Roman"/>
          <w:kern w:val="0"/>
          <w:szCs w:val="32"/>
          <w:lang w:bidi="ar"/>
        </w:rPr>
        <w:t>2.环境管控单元调整结果表（2023年）</w:t>
      </w:r>
    </w:p>
    <w:p w14:paraId="6D3FCB14">
      <w:pPr>
        <w:pStyle w:val="3"/>
        <w:keepNext w:val="0"/>
        <w:keepLines w:val="0"/>
        <w:pageBreakBefore w:val="0"/>
        <w:widowControl w:val="0"/>
        <w:kinsoku/>
        <w:wordWrap/>
        <w:overflowPunct/>
        <w:topLinePunct w:val="0"/>
        <w:autoSpaceDE/>
        <w:autoSpaceDN/>
        <w:bidi w:val="0"/>
        <w:adjustRightInd/>
        <w:snapToGrid/>
        <w:spacing w:after="0" w:line="600" w:lineRule="exact"/>
        <w:ind w:left="0" w:leftChars="0" w:firstLine="1600" w:firstLineChars="500"/>
        <w:jc w:val="both"/>
        <w:textAlignment w:val="auto"/>
        <w:rPr>
          <w:rFonts w:hint="default" w:ascii="Times New Roman" w:hAnsi="Times New Roman" w:eastAsia="方正仿宋_GBK" w:cs="Times New Roman"/>
          <w:kern w:val="0"/>
          <w:szCs w:val="32"/>
          <w:lang w:bidi="ar"/>
        </w:rPr>
      </w:pPr>
      <w:r>
        <w:rPr>
          <w:rFonts w:hint="default" w:ascii="Times New Roman" w:hAnsi="Times New Roman" w:eastAsia="方正仿宋_GBK" w:cs="Times New Roman"/>
          <w:kern w:val="0"/>
          <w:szCs w:val="32"/>
          <w:lang w:bidi="ar"/>
        </w:rPr>
        <w:t>3.</w:t>
      </w:r>
      <w:r>
        <w:rPr>
          <w:rFonts w:hint="eastAsia" w:ascii="Times New Roman" w:hAnsi="Times New Roman" w:eastAsia="方正仿宋_GBK" w:cs="Times New Roman"/>
          <w:kern w:val="0"/>
          <w:szCs w:val="32"/>
          <w:lang w:eastAsia="zh-CN" w:bidi="ar"/>
        </w:rPr>
        <w:t>西部科学城</w:t>
      </w:r>
      <w:r>
        <w:rPr>
          <w:rFonts w:hint="default" w:ascii="Times New Roman" w:hAnsi="Times New Roman" w:eastAsia="方正仿宋_GBK" w:cs="Times New Roman"/>
          <w:kern w:val="0"/>
          <w:szCs w:val="32"/>
          <w:lang w:bidi="ar"/>
        </w:rPr>
        <w:t>重庆高新区生态环境准入清单总体管</w:t>
      </w:r>
    </w:p>
    <w:p w14:paraId="27914E3A">
      <w:pPr>
        <w:pStyle w:val="3"/>
        <w:keepNext w:val="0"/>
        <w:keepLines w:val="0"/>
        <w:pageBreakBefore w:val="0"/>
        <w:widowControl w:val="0"/>
        <w:kinsoku/>
        <w:wordWrap/>
        <w:overflowPunct/>
        <w:topLinePunct w:val="0"/>
        <w:autoSpaceDE/>
        <w:autoSpaceDN/>
        <w:bidi w:val="0"/>
        <w:adjustRightInd/>
        <w:snapToGrid/>
        <w:spacing w:after="0" w:line="600" w:lineRule="exact"/>
        <w:ind w:left="0" w:leftChars="0" w:firstLine="1856" w:firstLineChars="580"/>
        <w:jc w:val="both"/>
        <w:textAlignment w:val="auto"/>
        <w:rPr>
          <w:spacing w:val="-6"/>
        </w:rPr>
      </w:pPr>
      <w:r>
        <w:rPr>
          <w:rFonts w:hint="default" w:ascii="Times New Roman" w:hAnsi="Times New Roman" w:eastAsia="方正仿宋_GBK" w:cs="Times New Roman"/>
          <w:kern w:val="0"/>
          <w:szCs w:val="32"/>
          <w:lang w:bidi="ar"/>
        </w:rPr>
        <w:t>控要求（2023</w:t>
      </w:r>
      <w:r>
        <w:rPr>
          <w:rFonts w:ascii="Times New Roman" w:hAnsi="Times New Roman" w:eastAsia="方正仿宋_GBK"/>
          <w:spacing w:val="-6"/>
          <w:sz w:val="32"/>
          <w:szCs w:val="32"/>
        </w:rPr>
        <w:t>年）</w:t>
      </w:r>
    </w:p>
    <w:p w14:paraId="45DB93BF">
      <w:pPr>
        <w:spacing w:line="600" w:lineRule="exact"/>
        <w:jc w:val="center"/>
        <w:rPr>
          <w:rFonts w:ascii="Times New Roman" w:hAnsi="Times New Roman" w:eastAsia="方正小标宋_GBK"/>
          <w:sz w:val="44"/>
          <w:szCs w:val="44"/>
        </w:rPr>
      </w:pPr>
    </w:p>
    <w:p w14:paraId="2235E550">
      <w:pPr>
        <w:spacing w:line="600" w:lineRule="exact"/>
        <w:jc w:val="center"/>
        <w:rPr>
          <w:rFonts w:ascii="Times New Roman" w:hAnsi="Times New Roman" w:eastAsia="方正小标宋_GBK"/>
          <w:sz w:val="44"/>
          <w:szCs w:val="44"/>
        </w:rPr>
      </w:pPr>
    </w:p>
    <w:p w14:paraId="5C8FA1A1">
      <w:pPr>
        <w:spacing w:line="560" w:lineRule="exact"/>
        <w:jc w:val="center"/>
        <w:rPr>
          <w:rFonts w:ascii="Times New Roman" w:hAnsi="Times New Roman" w:eastAsia="方正小标宋_GBK"/>
          <w:sz w:val="44"/>
          <w:szCs w:val="44"/>
        </w:rPr>
      </w:pPr>
    </w:p>
    <w:p w14:paraId="7F49B858">
      <w:pPr>
        <w:spacing w:line="560" w:lineRule="exact"/>
        <w:jc w:val="center"/>
        <w:rPr>
          <w:rFonts w:ascii="Times New Roman" w:hAnsi="Times New Roman" w:eastAsia="方正小标宋_GBK"/>
          <w:sz w:val="44"/>
          <w:szCs w:val="44"/>
        </w:rPr>
      </w:pPr>
    </w:p>
    <w:p w14:paraId="0F4AC25A">
      <w:pPr>
        <w:spacing w:line="560" w:lineRule="exact"/>
        <w:jc w:val="center"/>
        <w:rPr>
          <w:rFonts w:ascii="Times New Roman" w:hAnsi="Times New Roman" w:eastAsia="方正小标宋_GBK"/>
          <w:sz w:val="44"/>
          <w:szCs w:val="44"/>
        </w:rPr>
      </w:pPr>
    </w:p>
    <w:p w14:paraId="41E8323E">
      <w:pPr>
        <w:spacing w:line="560" w:lineRule="exact"/>
        <w:jc w:val="center"/>
        <w:rPr>
          <w:rFonts w:ascii="Times New Roman" w:hAnsi="Times New Roman" w:eastAsia="方正小标宋_GBK"/>
          <w:sz w:val="44"/>
          <w:szCs w:val="44"/>
        </w:rPr>
      </w:pPr>
    </w:p>
    <w:p w14:paraId="2AC6676F"/>
    <w:p w14:paraId="01C77018">
      <w:pPr>
        <w:pStyle w:val="17"/>
      </w:pPr>
    </w:p>
    <w:p w14:paraId="066671B5">
      <w:pPr>
        <w:pStyle w:val="17"/>
      </w:pPr>
    </w:p>
    <w:p w14:paraId="677A7DEB">
      <w:pPr>
        <w:rPr>
          <w:rFonts w:ascii="方正小标宋_GBK" w:eastAsia="方正小标宋_GBK" w:cs="方正仿宋_GBK"/>
          <w:sz w:val="44"/>
          <w:szCs w:val="44"/>
        </w:rPr>
      </w:pPr>
    </w:p>
    <w:p w14:paraId="7A577B41">
      <w:pPr>
        <w:pStyle w:val="2"/>
      </w:pPr>
    </w:p>
    <w:p w14:paraId="4BC5E8B0">
      <w:pPr>
        <w:pStyle w:val="17"/>
        <w:rPr>
          <w:rFonts w:ascii="方正小标宋_GBK" w:eastAsia="方正小标宋_GBK" w:cs="方正仿宋_GBK"/>
          <w:sz w:val="44"/>
          <w:szCs w:val="44"/>
        </w:rPr>
        <w:sectPr>
          <w:pgSz w:w="11906" w:h="16838"/>
          <w:pgMar w:top="2098" w:right="1531" w:bottom="1984" w:left="1531" w:header="850" w:footer="1531" w:gutter="0"/>
          <w:cols w:space="0" w:num="1"/>
          <w:rtlGutter w:val="0"/>
          <w:docGrid w:linePitch="360" w:charSpace="0"/>
        </w:sectPr>
      </w:pPr>
    </w:p>
    <w:p w14:paraId="4485371B">
      <w:pPr>
        <w:keepNext w:val="0"/>
        <w:keepLines w:val="0"/>
        <w:pageBreakBefore w:val="0"/>
        <w:widowControl/>
        <w:kinsoku/>
        <w:wordWrap/>
        <w:overflowPunct/>
        <w:topLinePunct w:val="0"/>
        <w:autoSpaceDE/>
        <w:autoSpaceDN/>
        <w:bidi w:val="0"/>
        <w:adjustRightInd w:val="0"/>
        <w:snapToGrid w:val="0"/>
        <w:spacing w:after="0" w:line="600" w:lineRule="exact"/>
        <w:textAlignment w:val="auto"/>
        <w:rPr>
          <w:rFonts w:hint="eastAsia" w:ascii="Times New Roman" w:hAnsi="Times New Roman" w:eastAsia="方正黑体_GBK" w:cs="方正黑体_GBK"/>
          <w:sz w:val="32"/>
          <w:szCs w:val="32"/>
        </w:rPr>
      </w:pPr>
      <w:r>
        <w:rPr>
          <w:rFonts w:hint="eastAsia" w:ascii="方正黑体_GBK" w:hAnsi="方正黑体_GBK" w:eastAsia="方正黑体_GBK" w:cs="方正黑体_GBK"/>
          <w:sz w:val="32"/>
          <w:szCs w:val="32"/>
        </w:rPr>
        <w:t>附件</w:t>
      </w:r>
      <w:r>
        <w:rPr>
          <w:rFonts w:hint="eastAsia" w:ascii="Times New Roman" w:hAnsi="Times New Roman" w:eastAsia="方正黑体_GBK" w:cs="方正黑体_GBK"/>
          <w:sz w:val="32"/>
          <w:szCs w:val="32"/>
        </w:rPr>
        <w:t>1</w:t>
      </w:r>
    </w:p>
    <w:p w14:paraId="7FA347F5">
      <w:pPr>
        <w:keepNext w:val="0"/>
        <w:keepLines w:val="0"/>
        <w:pageBreakBefore w:val="0"/>
        <w:widowControl/>
        <w:kinsoku/>
        <w:wordWrap/>
        <w:overflowPunct/>
        <w:topLinePunct w:val="0"/>
        <w:autoSpaceDE/>
        <w:autoSpaceDN/>
        <w:bidi w:val="0"/>
        <w:adjustRightInd w:val="0"/>
        <w:snapToGrid w:val="0"/>
        <w:spacing w:after="0"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rPr>
        <w:t>环境管控单元图（2023年）</w:t>
      </w:r>
    </w:p>
    <w:p w14:paraId="65064282">
      <w:pPr>
        <w:pStyle w:val="2"/>
        <w:spacing w:after="0" w:line="360" w:lineRule="auto"/>
        <w:jc w:val="center"/>
      </w:pPr>
      <w:r>
        <w:drawing>
          <wp:inline distT="0" distB="0" distL="114300" distR="114300">
            <wp:extent cx="6272530" cy="4432935"/>
            <wp:effectExtent l="0" t="0" r="13970" b="5715"/>
            <wp:docPr id="1" name="图片 1"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
                    <pic:cNvPicPr>
                      <a:picLocks noChangeAspect="1"/>
                    </pic:cNvPicPr>
                  </pic:nvPicPr>
                  <pic:blipFill>
                    <a:blip r:embed="rId9"/>
                    <a:stretch>
                      <a:fillRect/>
                    </a:stretch>
                  </pic:blipFill>
                  <pic:spPr>
                    <a:xfrm>
                      <a:off x="0" y="0"/>
                      <a:ext cx="6272530" cy="4432935"/>
                    </a:xfrm>
                    <a:prstGeom prst="rect">
                      <a:avLst/>
                    </a:prstGeom>
                    <a:noFill/>
                    <a:ln>
                      <a:noFill/>
                    </a:ln>
                  </pic:spPr>
                </pic:pic>
              </a:graphicData>
            </a:graphic>
          </wp:inline>
        </w:drawing>
      </w:r>
    </w:p>
    <w:p w14:paraId="7318F392">
      <w:pPr>
        <w:pStyle w:val="17"/>
        <w:spacing w:line="360" w:lineRule="auto"/>
        <w:rPr>
          <w:rFonts w:ascii="方正小标宋_GBK" w:eastAsia="方正小标宋_GBK" w:cs="方正仿宋_GBK"/>
          <w:sz w:val="44"/>
          <w:szCs w:val="44"/>
        </w:rPr>
        <w:sectPr>
          <w:pgSz w:w="16838" w:h="11906" w:orient="landscape"/>
          <w:pgMar w:top="1531" w:right="2098" w:bottom="1531" w:left="1984" w:header="850" w:footer="1531" w:gutter="0"/>
          <w:cols w:space="0" w:num="1"/>
          <w:docGrid w:linePitch="360" w:charSpace="0"/>
        </w:sectPr>
      </w:pPr>
    </w:p>
    <w:p w14:paraId="4D8B95B1">
      <w:pPr>
        <w:keepNext w:val="0"/>
        <w:keepLines w:val="0"/>
        <w:pageBreakBefore w:val="0"/>
        <w:widowControl/>
        <w:kinsoku/>
        <w:wordWrap/>
        <w:overflowPunct/>
        <w:topLinePunct w:val="0"/>
        <w:autoSpaceDE/>
        <w:autoSpaceDN/>
        <w:bidi w:val="0"/>
        <w:adjustRightInd w:val="0"/>
        <w:snapToGrid w:val="0"/>
        <w:spacing w:after="0" w:line="600" w:lineRule="exact"/>
        <w:textAlignment w:val="auto"/>
        <w:rPr>
          <w:rFonts w:hint="default"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rPr>
        <w:t>附件</w:t>
      </w:r>
      <w:r>
        <w:rPr>
          <w:rFonts w:hint="eastAsia" w:ascii="Times New Roman" w:hAnsi="Times New Roman" w:eastAsia="方正黑体_GBK" w:cs="方正黑体_GBK"/>
          <w:sz w:val="32"/>
          <w:szCs w:val="32"/>
          <w:lang w:val="en-US" w:eastAsia="zh-CN"/>
        </w:rPr>
        <w:t>2</w:t>
      </w:r>
    </w:p>
    <w:p w14:paraId="54AA2B50">
      <w:pPr>
        <w:keepNext w:val="0"/>
        <w:keepLines w:val="0"/>
        <w:pageBreakBefore w:val="0"/>
        <w:widowControl/>
        <w:kinsoku/>
        <w:wordWrap/>
        <w:overflowPunct/>
        <w:topLinePunct w:val="0"/>
        <w:autoSpaceDE/>
        <w:autoSpaceDN/>
        <w:bidi w:val="0"/>
        <w:adjustRightInd w:val="0"/>
        <w:snapToGrid w:val="0"/>
        <w:spacing w:after="0" w:line="600" w:lineRule="exact"/>
        <w:jc w:val="center"/>
        <w:textAlignment w:val="auto"/>
        <w:rPr>
          <w:rFonts w:ascii="方正小标宋_GBK" w:hAnsi="Calibri" w:eastAsia="方正小标宋_GBK"/>
          <w:kern w:val="2"/>
          <w:sz w:val="44"/>
          <w:szCs w:val="44"/>
        </w:rPr>
      </w:pPr>
      <w:r>
        <w:rPr>
          <w:rFonts w:hint="eastAsia" w:ascii="方正小标宋_GBK" w:hAnsi="Calibri" w:eastAsia="方正小标宋_GBK"/>
          <w:kern w:val="2"/>
          <w:sz w:val="44"/>
          <w:szCs w:val="44"/>
        </w:rPr>
        <w:t>环境管控单元调整结果表（</w:t>
      </w:r>
      <w:r>
        <w:rPr>
          <w:rFonts w:ascii="Times New Roman" w:hAnsi="Times New Roman" w:eastAsia="方正仿宋_GBK"/>
          <w:kern w:val="2"/>
          <w:sz w:val="44"/>
          <w:szCs w:val="44"/>
        </w:rPr>
        <w:t>2023</w:t>
      </w:r>
      <w:r>
        <w:rPr>
          <w:rFonts w:hint="eastAsia" w:ascii="方正小标宋_GBK" w:hAnsi="Calibri" w:eastAsia="方正小标宋_GBK"/>
          <w:kern w:val="2"/>
          <w:sz w:val="44"/>
          <w:szCs w:val="44"/>
        </w:rPr>
        <w:t>年）</w:t>
      </w:r>
    </w:p>
    <w:tbl>
      <w:tblPr>
        <w:tblStyle w:val="13"/>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38"/>
        <w:gridCol w:w="5102"/>
        <w:gridCol w:w="1914"/>
      </w:tblGrid>
      <w:tr w14:paraId="6E65F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rPr>
        <w:tc>
          <w:tcPr>
            <w:tcW w:w="1038" w:type="pct"/>
            <w:vAlign w:val="center"/>
          </w:tcPr>
          <w:p w14:paraId="0CBEF87F">
            <w:pPr>
              <w:pStyle w:val="31"/>
              <w:snapToGrid w:val="0"/>
              <w:spacing w:line="440" w:lineRule="exact"/>
              <w:jc w:val="center"/>
              <w:rPr>
                <w:rFonts w:ascii="Times New Roman" w:hAnsi="Times New Roman" w:eastAsia="方正仿宋_GBK" w:cs="Times New Roman"/>
                <w:b/>
                <w:color w:val="auto"/>
                <w:kern w:val="2"/>
                <w:sz w:val="24"/>
                <w:szCs w:val="24"/>
                <w:lang w:bidi="ar"/>
              </w:rPr>
            </w:pPr>
            <w:r>
              <w:rPr>
                <w:rFonts w:ascii="Times New Roman" w:hAnsi="Times New Roman" w:eastAsia="方正仿宋_GBK" w:cs="Times New Roman"/>
                <w:b/>
                <w:color w:val="auto"/>
                <w:kern w:val="2"/>
                <w:sz w:val="24"/>
                <w:szCs w:val="24"/>
                <w:lang w:bidi="ar"/>
              </w:rPr>
              <w:t>单元编码</w:t>
            </w:r>
          </w:p>
        </w:tc>
        <w:tc>
          <w:tcPr>
            <w:tcW w:w="2881" w:type="pct"/>
            <w:vAlign w:val="center"/>
          </w:tcPr>
          <w:p w14:paraId="64121050">
            <w:pPr>
              <w:pStyle w:val="31"/>
              <w:snapToGrid w:val="0"/>
              <w:spacing w:line="440" w:lineRule="exact"/>
              <w:jc w:val="center"/>
              <w:rPr>
                <w:rFonts w:ascii="Times New Roman" w:hAnsi="Times New Roman" w:eastAsia="方正仿宋_GBK" w:cs="Times New Roman"/>
                <w:b/>
                <w:color w:val="auto"/>
                <w:kern w:val="2"/>
                <w:sz w:val="24"/>
                <w:szCs w:val="24"/>
                <w:lang w:bidi="ar"/>
              </w:rPr>
            </w:pPr>
            <w:r>
              <w:rPr>
                <w:rFonts w:ascii="Times New Roman" w:hAnsi="Times New Roman" w:eastAsia="方正仿宋_GBK" w:cs="Times New Roman"/>
                <w:b/>
                <w:color w:val="auto"/>
                <w:kern w:val="2"/>
                <w:sz w:val="24"/>
                <w:szCs w:val="24"/>
                <w:lang w:bidi="ar"/>
              </w:rPr>
              <w:t>单元名称</w:t>
            </w:r>
          </w:p>
        </w:tc>
        <w:tc>
          <w:tcPr>
            <w:tcW w:w="1081" w:type="pct"/>
            <w:vAlign w:val="center"/>
          </w:tcPr>
          <w:p w14:paraId="19CC2671">
            <w:pPr>
              <w:pStyle w:val="31"/>
              <w:snapToGrid w:val="0"/>
              <w:spacing w:line="440" w:lineRule="exact"/>
              <w:jc w:val="center"/>
              <w:rPr>
                <w:rFonts w:ascii="Times New Roman" w:hAnsi="Times New Roman" w:eastAsia="方正仿宋_GBK" w:cs="Times New Roman"/>
                <w:b/>
                <w:color w:val="auto"/>
                <w:kern w:val="2"/>
                <w:sz w:val="24"/>
                <w:szCs w:val="24"/>
                <w:lang w:bidi="ar"/>
              </w:rPr>
            </w:pPr>
            <w:r>
              <w:rPr>
                <w:rFonts w:ascii="Times New Roman" w:hAnsi="Times New Roman" w:eastAsia="方正仿宋_GBK" w:cs="Times New Roman"/>
                <w:b/>
                <w:color w:val="auto"/>
                <w:kern w:val="2"/>
                <w:sz w:val="24"/>
                <w:szCs w:val="24"/>
                <w:lang w:bidi="ar"/>
              </w:rPr>
              <w:t>单元分类</w:t>
            </w:r>
          </w:p>
        </w:tc>
      </w:tr>
      <w:tr w14:paraId="4160C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38" w:type="pct"/>
            <w:tcBorders>
              <w:top w:val="single" w:color="000000" w:sz="2" w:space="0"/>
              <w:left w:val="single" w:color="000000" w:sz="2" w:space="0"/>
              <w:bottom w:val="single" w:color="000000" w:sz="2" w:space="0"/>
              <w:right w:val="single" w:color="000000" w:sz="2" w:space="0"/>
            </w:tcBorders>
            <w:vAlign w:val="center"/>
          </w:tcPr>
          <w:p w14:paraId="1C4260ED">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ZH50010710009</w:t>
            </w:r>
          </w:p>
        </w:tc>
        <w:tc>
          <w:tcPr>
            <w:tcW w:w="2881" w:type="pct"/>
            <w:tcBorders>
              <w:top w:val="single" w:color="000000" w:sz="2" w:space="0"/>
              <w:left w:val="single" w:color="000000" w:sz="2" w:space="0"/>
              <w:bottom w:val="single" w:color="000000" w:sz="2" w:space="0"/>
              <w:right w:val="single" w:color="000000" w:sz="2" w:space="0"/>
            </w:tcBorders>
            <w:vAlign w:val="center"/>
          </w:tcPr>
          <w:p w14:paraId="5AD86D07">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hint="eastAsia" w:ascii="Times New Roman" w:hAnsi="Times New Roman" w:eastAsia="方正仿宋_GBK" w:cs="Times New Roman"/>
                <w:bCs/>
                <w:color w:val="auto"/>
                <w:kern w:val="2"/>
                <w:sz w:val="24"/>
                <w:szCs w:val="24"/>
                <w:lang w:bidi="ar"/>
              </w:rPr>
              <w:t>高新区</w:t>
            </w:r>
            <w:r>
              <w:rPr>
                <w:rFonts w:ascii="Times New Roman" w:hAnsi="Times New Roman" w:eastAsia="方正仿宋_GBK" w:cs="Times New Roman"/>
                <w:bCs/>
                <w:color w:val="auto"/>
                <w:kern w:val="2"/>
                <w:sz w:val="24"/>
                <w:szCs w:val="24"/>
                <w:lang w:bidi="ar"/>
              </w:rPr>
              <w:t>生态保护红线</w:t>
            </w:r>
            <w:r>
              <w:rPr>
                <w:rFonts w:hint="eastAsia" w:ascii="Times New Roman" w:hAnsi="Times New Roman" w:eastAsia="方正仿宋_GBK" w:cs="Times New Roman"/>
                <w:bCs/>
                <w:color w:val="auto"/>
                <w:kern w:val="2"/>
                <w:sz w:val="24"/>
                <w:szCs w:val="24"/>
                <w:lang w:bidi="ar"/>
              </w:rPr>
              <w:t>-</w:t>
            </w:r>
            <w:r>
              <w:rPr>
                <w:rFonts w:ascii="Times New Roman" w:hAnsi="Times New Roman" w:eastAsia="方正仿宋_GBK" w:cs="Times New Roman"/>
                <w:bCs/>
                <w:color w:val="auto"/>
                <w:kern w:val="2"/>
                <w:sz w:val="24"/>
                <w:szCs w:val="24"/>
                <w:lang w:bidi="ar"/>
              </w:rPr>
              <w:t>九龙坡区</w:t>
            </w:r>
            <w:r>
              <w:rPr>
                <w:rFonts w:hint="eastAsia" w:ascii="Times New Roman" w:hAnsi="Times New Roman" w:eastAsia="方正仿宋_GBK" w:cs="Times New Roman"/>
                <w:bCs/>
                <w:color w:val="auto"/>
                <w:kern w:val="2"/>
                <w:sz w:val="24"/>
                <w:szCs w:val="24"/>
                <w:lang w:bidi="ar"/>
              </w:rPr>
              <w:t>部分</w:t>
            </w:r>
          </w:p>
        </w:tc>
        <w:tc>
          <w:tcPr>
            <w:tcW w:w="1081" w:type="pct"/>
            <w:tcBorders>
              <w:top w:val="single" w:color="000000" w:sz="2" w:space="0"/>
              <w:left w:val="single" w:color="000000" w:sz="2" w:space="0"/>
              <w:bottom w:val="single" w:color="000000" w:sz="2" w:space="0"/>
              <w:right w:val="single" w:color="000000" w:sz="2" w:space="0"/>
            </w:tcBorders>
            <w:vAlign w:val="center"/>
          </w:tcPr>
          <w:p w14:paraId="549B492C">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优先保护单元1</w:t>
            </w:r>
          </w:p>
        </w:tc>
      </w:tr>
      <w:tr w14:paraId="0C2E3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38" w:type="pct"/>
            <w:tcBorders>
              <w:top w:val="single" w:color="000000" w:sz="2" w:space="0"/>
              <w:left w:val="single" w:color="000000" w:sz="2" w:space="0"/>
              <w:bottom w:val="single" w:color="000000" w:sz="2" w:space="0"/>
              <w:right w:val="single" w:color="000000" w:sz="2" w:space="0"/>
            </w:tcBorders>
            <w:vAlign w:val="center"/>
          </w:tcPr>
          <w:p w14:paraId="707195A5">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ZH50010610006</w:t>
            </w:r>
          </w:p>
        </w:tc>
        <w:tc>
          <w:tcPr>
            <w:tcW w:w="2881" w:type="pct"/>
            <w:tcBorders>
              <w:top w:val="single" w:color="000000" w:sz="2" w:space="0"/>
              <w:left w:val="single" w:color="000000" w:sz="2" w:space="0"/>
              <w:bottom w:val="single" w:color="000000" w:sz="2" w:space="0"/>
              <w:right w:val="single" w:color="000000" w:sz="2" w:space="0"/>
            </w:tcBorders>
            <w:vAlign w:val="center"/>
          </w:tcPr>
          <w:p w14:paraId="4DB97CD2">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hint="eastAsia" w:ascii="Times New Roman" w:hAnsi="Times New Roman" w:eastAsia="方正仿宋_GBK" w:cs="Times New Roman"/>
                <w:bCs/>
                <w:color w:val="auto"/>
                <w:kern w:val="2"/>
                <w:sz w:val="24"/>
                <w:szCs w:val="24"/>
                <w:lang w:bidi="ar"/>
              </w:rPr>
              <w:t>高新区</w:t>
            </w:r>
            <w:r>
              <w:rPr>
                <w:rFonts w:ascii="Times New Roman" w:hAnsi="Times New Roman" w:eastAsia="方正仿宋_GBK" w:cs="Times New Roman"/>
                <w:bCs/>
                <w:color w:val="auto"/>
                <w:kern w:val="2"/>
                <w:sz w:val="24"/>
                <w:szCs w:val="24"/>
                <w:lang w:bidi="ar"/>
              </w:rPr>
              <w:t>生态保护红线</w:t>
            </w:r>
            <w:r>
              <w:rPr>
                <w:rFonts w:hint="eastAsia" w:ascii="Times New Roman" w:hAnsi="Times New Roman" w:eastAsia="方正仿宋_GBK" w:cs="Times New Roman"/>
                <w:bCs/>
                <w:color w:val="auto"/>
                <w:kern w:val="2"/>
                <w:sz w:val="24"/>
                <w:szCs w:val="24"/>
                <w:lang w:bidi="ar"/>
              </w:rPr>
              <w:t>-</w:t>
            </w:r>
            <w:r>
              <w:rPr>
                <w:rFonts w:ascii="Times New Roman" w:hAnsi="Times New Roman" w:eastAsia="方正仿宋_GBK" w:cs="Times New Roman"/>
                <w:bCs/>
                <w:color w:val="auto"/>
                <w:kern w:val="2"/>
                <w:sz w:val="24"/>
                <w:szCs w:val="24"/>
                <w:lang w:bidi="ar"/>
              </w:rPr>
              <w:t>沙坪坝</w:t>
            </w:r>
            <w:r>
              <w:rPr>
                <w:rFonts w:hint="eastAsia" w:ascii="Times New Roman" w:hAnsi="Times New Roman" w:eastAsia="方正仿宋_GBK" w:cs="Times New Roman"/>
                <w:bCs/>
                <w:color w:val="auto"/>
                <w:kern w:val="2"/>
                <w:sz w:val="24"/>
                <w:szCs w:val="24"/>
                <w:lang w:bidi="ar"/>
              </w:rPr>
              <w:t>区部分</w:t>
            </w:r>
          </w:p>
        </w:tc>
        <w:tc>
          <w:tcPr>
            <w:tcW w:w="1081" w:type="pct"/>
            <w:tcBorders>
              <w:top w:val="single" w:color="000000" w:sz="2" w:space="0"/>
              <w:left w:val="single" w:color="000000" w:sz="2" w:space="0"/>
              <w:bottom w:val="single" w:color="000000" w:sz="2" w:space="0"/>
              <w:right w:val="single" w:color="000000" w:sz="2" w:space="0"/>
            </w:tcBorders>
            <w:vAlign w:val="center"/>
          </w:tcPr>
          <w:p w14:paraId="484EDBB6">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优先保护单元2</w:t>
            </w:r>
          </w:p>
        </w:tc>
      </w:tr>
      <w:tr w14:paraId="5F759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38" w:type="pct"/>
            <w:tcBorders>
              <w:top w:val="single" w:color="000000" w:sz="2" w:space="0"/>
              <w:left w:val="single" w:color="000000" w:sz="2" w:space="0"/>
              <w:bottom w:val="single" w:color="000000" w:sz="2" w:space="0"/>
              <w:right w:val="single" w:color="000000" w:sz="2" w:space="0"/>
            </w:tcBorders>
            <w:vAlign w:val="center"/>
          </w:tcPr>
          <w:p w14:paraId="7B6175A8">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ZH50010710004</w:t>
            </w:r>
          </w:p>
        </w:tc>
        <w:tc>
          <w:tcPr>
            <w:tcW w:w="2881" w:type="pct"/>
            <w:tcBorders>
              <w:top w:val="single" w:color="000000" w:sz="2" w:space="0"/>
              <w:left w:val="single" w:color="000000" w:sz="2" w:space="0"/>
              <w:bottom w:val="single" w:color="000000" w:sz="2" w:space="0"/>
              <w:right w:val="single" w:color="000000" w:sz="2" w:space="0"/>
            </w:tcBorders>
            <w:vAlign w:val="center"/>
          </w:tcPr>
          <w:p w14:paraId="0596E120">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白市驿县级自然保护区</w:t>
            </w:r>
          </w:p>
        </w:tc>
        <w:tc>
          <w:tcPr>
            <w:tcW w:w="1081" w:type="pct"/>
            <w:tcBorders>
              <w:top w:val="single" w:color="000000" w:sz="2" w:space="0"/>
              <w:left w:val="single" w:color="000000" w:sz="2" w:space="0"/>
              <w:bottom w:val="single" w:color="000000" w:sz="2" w:space="0"/>
              <w:right w:val="single" w:color="000000" w:sz="2" w:space="0"/>
            </w:tcBorders>
            <w:vAlign w:val="center"/>
          </w:tcPr>
          <w:p w14:paraId="146D64CD">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优先保护单元3</w:t>
            </w:r>
          </w:p>
        </w:tc>
      </w:tr>
      <w:tr w14:paraId="4EE5B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38" w:type="pct"/>
            <w:tcBorders>
              <w:top w:val="single" w:color="000000" w:sz="2" w:space="0"/>
              <w:left w:val="single" w:color="000000" w:sz="2" w:space="0"/>
              <w:bottom w:val="single" w:color="000000" w:sz="2" w:space="0"/>
              <w:right w:val="single" w:color="000000" w:sz="2" w:space="0"/>
            </w:tcBorders>
            <w:vAlign w:val="center"/>
          </w:tcPr>
          <w:p w14:paraId="39B612EB">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ZH50010710005</w:t>
            </w:r>
          </w:p>
        </w:tc>
        <w:tc>
          <w:tcPr>
            <w:tcW w:w="2881" w:type="pct"/>
            <w:tcBorders>
              <w:top w:val="single" w:color="000000" w:sz="2" w:space="0"/>
              <w:left w:val="single" w:color="000000" w:sz="2" w:space="0"/>
              <w:bottom w:val="single" w:color="000000" w:sz="2" w:space="0"/>
              <w:right w:val="single" w:color="000000" w:sz="2" w:space="0"/>
            </w:tcBorders>
            <w:vAlign w:val="center"/>
          </w:tcPr>
          <w:p w14:paraId="4C7B9F77">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白市驿城市花卉市级森林公园</w:t>
            </w:r>
          </w:p>
        </w:tc>
        <w:tc>
          <w:tcPr>
            <w:tcW w:w="1081" w:type="pct"/>
            <w:tcBorders>
              <w:top w:val="single" w:color="000000" w:sz="2" w:space="0"/>
              <w:left w:val="single" w:color="000000" w:sz="2" w:space="0"/>
              <w:bottom w:val="single" w:color="000000" w:sz="2" w:space="0"/>
              <w:right w:val="single" w:color="000000" w:sz="2" w:space="0"/>
            </w:tcBorders>
            <w:vAlign w:val="center"/>
          </w:tcPr>
          <w:p w14:paraId="4F79BD17">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优先保护单元4</w:t>
            </w:r>
          </w:p>
        </w:tc>
      </w:tr>
      <w:tr w14:paraId="26F1F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38" w:type="pct"/>
            <w:tcBorders>
              <w:top w:val="single" w:color="000000" w:sz="2" w:space="0"/>
              <w:left w:val="single" w:color="000000" w:sz="2" w:space="0"/>
              <w:bottom w:val="single" w:color="000000" w:sz="2" w:space="0"/>
              <w:right w:val="single" w:color="000000" w:sz="2" w:space="0"/>
            </w:tcBorders>
            <w:vAlign w:val="center"/>
          </w:tcPr>
          <w:p w14:paraId="5A6A944E">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ZH50010710006</w:t>
            </w:r>
          </w:p>
        </w:tc>
        <w:tc>
          <w:tcPr>
            <w:tcW w:w="2881" w:type="pct"/>
            <w:tcBorders>
              <w:top w:val="single" w:color="000000" w:sz="2" w:space="0"/>
              <w:left w:val="single" w:color="000000" w:sz="2" w:space="0"/>
              <w:bottom w:val="single" w:color="000000" w:sz="2" w:space="0"/>
              <w:right w:val="single" w:color="000000" w:sz="2" w:space="0"/>
            </w:tcBorders>
            <w:vAlign w:val="center"/>
          </w:tcPr>
          <w:p w14:paraId="36602949">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白塔坪市级森林公园</w:t>
            </w:r>
          </w:p>
        </w:tc>
        <w:tc>
          <w:tcPr>
            <w:tcW w:w="1081" w:type="pct"/>
            <w:tcBorders>
              <w:top w:val="single" w:color="000000" w:sz="2" w:space="0"/>
              <w:left w:val="single" w:color="000000" w:sz="2" w:space="0"/>
              <w:bottom w:val="single" w:color="000000" w:sz="2" w:space="0"/>
              <w:right w:val="single" w:color="000000" w:sz="2" w:space="0"/>
            </w:tcBorders>
            <w:vAlign w:val="center"/>
          </w:tcPr>
          <w:p w14:paraId="723BEBB1">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优先保护单元5</w:t>
            </w:r>
          </w:p>
        </w:tc>
      </w:tr>
      <w:tr w14:paraId="1F26D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38" w:type="pct"/>
            <w:tcBorders>
              <w:top w:val="single" w:color="000000" w:sz="2" w:space="0"/>
              <w:left w:val="single" w:color="000000" w:sz="2" w:space="0"/>
              <w:bottom w:val="single" w:color="000000" w:sz="2" w:space="0"/>
              <w:right w:val="single" w:color="000000" w:sz="2" w:space="0"/>
            </w:tcBorders>
            <w:vAlign w:val="center"/>
          </w:tcPr>
          <w:p w14:paraId="61268A73">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ZH50010610007</w:t>
            </w:r>
          </w:p>
        </w:tc>
        <w:tc>
          <w:tcPr>
            <w:tcW w:w="2881" w:type="pct"/>
            <w:tcBorders>
              <w:top w:val="single" w:color="000000" w:sz="2" w:space="0"/>
              <w:left w:val="single" w:color="000000" w:sz="2" w:space="0"/>
              <w:bottom w:val="single" w:color="000000" w:sz="2" w:space="0"/>
              <w:right w:val="single" w:color="000000" w:sz="2" w:space="0"/>
            </w:tcBorders>
            <w:vAlign w:val="center"/>
          </w:tcPr>
          <w:p w14:paraId="0D0EFF16">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歌乐山风景名胜区</w:t>
            </w:r>
          </w:p>
        </w:tc>
        <w:tc>
          <w:tcPr>
            <w:tcW w:w="1081" w:type="pct"/>
            <w:tcBorders>
              <w:top w:val="single" w:color="000000" w:sz="2" w:space="0"/>
              <w:left w:val="single" w:color="000000" w:sz="2" w:space="0"/>
              <w:bottom w:val="single" w:color="000000" w:sz="2" w:space="0"/>
              <w:right w:val="single" w:color="000000" w:sz="2" w:space="0"/>
            </w:tcBorders>
            <w:vAlign w:val="center"/>
          </w:tcPr>
          <w:p w14:paraId="0E43D90D">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优先保护单元6</w:t>
            </w:r>
          </w:p>
        </w:tc>
      </w:tr>
      <w:tr w14:paraId="17CA7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38" w:type="pct"/>
            <w:tcBorders>
              <w:top w:val="single" w:color="000000" w:sz="2" w:space="0"/>
              <w:left w:val="single" w:color="000000" w:sz="2" w:space="0"/>
              <w:bottom w:val="single" w:color="000000" w:sz="2" w:space="0"/>
              <w:right w:val="single" w:color="000000" w:sz="2" w:space="0"/>
            </w:tcBorders>
            <w:vAlign w:val="center"/>
          </w:tcPr>
          <w:p w14:paraId="17DB9055">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ZH50010710007</w:t>
            </w:r>
          </w:p>
        </w:tc>
        <w:tc>
          <w:tcPr>
            <w:tcW w:w="2881" w:type="pct"/>
            <w:tcBorders>
              <w:top w:val="single" w:color="000000" w:sz="2" w:space="0"/>
              <w:left w:val="single" w:color="000000" w:sz="2" w:space="0"/>
              <w:bottom w:val="single" w:color="000000" w:sz="2" w:space="0"/>
              <w:right w:val="single" w:color="000000" w:sz="2" w:space="0"/>
            </w:tcBorders>
            <w:vAlign w:val="center"/>
          </w:tcPr>
          <w:p w14:paraId="36A69A56">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hint="eastAsia" w:ascii="Times New Roman" w:hAnsi="Times New Roman" w:eastAsia="方正仿宋_GBK" w:cs="Times New Roman"/>
                <w:bCs/>
                <w:color w:val="auto"/>
                <w:kern w:val="2"/>
                <w:sz w:val="24"/>
                <w:szCs w:val="24"/>
                <w:lang w:bidi="ar"/>
              </w:rPr>
              <w:t>高新区</w:t>
            </w:r>
            <w:r>
              <w:rPr>
                <w:rFonts w:ascii="Times New Roman" w:hAnsi="Times New Roman" w:eastAsia="方正仿宋_GBK" w:cs="Times New Roman"/>
                <w:bCs/>
                <w:color w:val="auto"/>
                <w:kern w:val="2"/>
                <w:sz w:val="24"/>
                <w:szCs w:val="24"/>
                <w:lang w:bidi="ar"/>
              </w:rPr>
              <w:t>一般生态空间</w:t>
            </w:r>
            <w:r>
              <w:rPr>
                <w:rFonts w:hint="eastAsia" w:ascii="Times New Roman" w:hAnsi="Times New Roman" w:eastAsia="方正仿宋_GBK" w:cs="Times New Roman"/>
                <w:bCs/>
                <w:color w:val="auto"/>
                <w:kern w:val="2"/>
                <w:sz w:val="24"/>
                <w:szCs w:val="24"/>
                <w:lang w:bidi="ar"/>
              </w:rPr>
              <w:t>-</w:t>
            </w:r>
            <w:r>
              <w:rPr>
                <w:rFonts w:ascii="Times New Roman" w:hAnsi="Times New Roman" w:eastAsia="方正仿宋_GBK" w:cs="Times New Roman"/>
                <w:bCs/>
                <w:color w:val="auto"/>
                <w:kern w:val="2"/>
                <w:sz w:val="24"/>
                <w:szCs w:val="24"/>
                <w:lang w:bidi="ar"/>
              </w:rPr>
              <w:t>九龙坡区</w:t>
            </w:r>
            <w:r>
              <w:rPr>
                <w:rFonts w:hint="eastAsia" w:ascii="Times New Roman" w:hAnsi="Times New Roman" w:eastAsia="方正仿宋_GBK" w:cs="Times New Roman"/>
                <w:bCs/>
                <w:color w:val="auto"/>
                <w:kern w:val="2"/>
                <w:sz w:val="24"/>
                <w:szCs w:val="24"/>
                <w:lang w:bidi="ar"/>
              </w:rPr>
              <w:t>部分</w:t>
            </w:r>
          </w:p>
        </w:tc>
        <w:tc>
          <w:tcPr>
            <w:tcW w:w="1081" w:type="pct"/>
            <w:tcBorders>
              <w:top w:val="single" w:color="000000" w:sz="2" w:space="0"/>
              <w:left w:val="single" w:color="000000" w:sz="2" w:space="0"/>
              <w:bottom w:val="single" w:color="000000" w:sz="2" w:space="0"/>
              <w:right w:val="single" w:color="000000" w:sz="2" w:space="0"/>
            </w:tcBorders>
            <w:vAlign w:val="center"/>
          </w:tcPr>
          <w:p w14:paraId="2A60B824">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优先保护单元7</w:t>
            </w:r>
          </w:p>
        </w:tc>
      </w:tr>
      <w:tr w14:paraId="67323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38" w:type="pct"/>
            <w:tcBorders>
              <w:top w:val="single" w:color="000000" w:sz="2" w:space="0"/>
              <w:left w:val="single" w:color="000000" w:sz="2" w:space="0"/>
              <w:bottom w:val="single" w:color="000000" w:sz="2" w:space="0"/>
              <w:right w:val="single" w:color="000000" w:sz="2" w:space="0"/>
            </w:tcBorders>
          </w:tcPr>
          <w:p w14:paraId="4D4AD8A8">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ZH50010610008</w:t>
            </w:r>
          </w:p>
        </w:tc>
        <w:tc>
          <w:tcPr>
            <w:tcW w:w="2881" w:type="pct"/>
            <w:tcBorders>
              <w:top w:val="single" w:color="000000" w:sz="2" w:space="0"/>
              <w:left w:val="single" w:color="000000" w:sz="2" w:space="0"/>
              <w:bottom w:val="single" w:color="000000" w:sz="2" w:space="0"/>
              <w:right w:val="single" w:color="000000" w:sz="2" w:space="0"/>
            </w:tcBorders>
          </w:tcPr>
          <w:p w14:paraId="17AFC32B">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hint="eastAsia" w:ascii="Times New Roman" w:hAnsi="Times New Roman" w:eastAsia="方正仿宋_GBK" w:cs="Times New Roman"/>
                <w:bCs/>
                <w:color w:val="auto"/>
                <w:kern w:val="2"/>
                <w:sz w:val="24"/>
                <w:szCs w:val="24"/>
                <w:lang w:bidi="ar"/>
              </w:rPr>
              <w:t>高新区</w:t>
            </w:r>
            <w:r>
              <w:rPr>
                <w:rFonts w:ascii="Times New Roman" w:hAnsi="Times New Roman" w:eastAsia="方正仿宋_GBK" w:cs="Times New Roman"/>
                <w:bCs/>
                <w:color w:val="auto"/>
                <w:kern w:val="2"/>
                <w:sz w:val="24"/>
                <w:szCs w:val="24"/>
                <w:lang w:bidi="ar"/>
              </w:rPr>
              <w:t>一般生态空间</w:t>
            </w:r>
            <w:r>
              <w:rPr>
                <w:rFonts w:hint="eastAsia" w:ascii="Times New Roman" w:hAnsi="Times New Roman" w:eastAsia="方正仿宋_GBK" w:cs="Times New Roman"/>
                <w:bCs/>
                <w:color w:val="auto"/>
                <w:kern w:val="2"/>
                <w:sz w:val="24"/>
                <w:szCs w:val="24"/>
                <w:lang w:bidi="ar"/>
              </w:rPr>
              <w:t>-</w:t>
            </w:r>
            <w:r>
              <w:rPr>
                <w:rFonts w:ascii="Times New Roman" w:hAnsi="Times New Roman" w:eastAsia="方正仿宋_GBK" w:cs="Times New Roman"/>
                <w:bCs/>
                <w:color w:val="auto"/>
                <w:kern w:val="2"/>
                <w:sz w:val="24"/>
                <w:szCs w:val="24"/>
                <w:lang w:bidi="ar"/>
              </w:rPr>
              <w:t>沙坪坝</w:t>
            </w:r>
            <w:r>
              <w:rPr>
                <w:rFonts w:hint="eastAsia" w:ascii="Times New Roman" w:hAnsi="Times New Roman" w:eastAsia="方正仿宋_GBK" w:cs="Times New Roman"/>
                <w:bCs/>
                <w:color w:val="auto"/>
                <w:kern w:val="2"/>
                <w:sz w:val="24"/>
                <w:szCs w:val="24"/>
                <w:lang w:bidi="ar"/>
              </w:rPr>
              <w:t>区部分</w:t>
            </w:r>
          </w:p>
        </w:tc>
        <w:tc>
          <w:tcPr>
            <w:tcW w:w="1081" w:type="pct"/>
            <w:tcBorders>
              <w:top w:val="single" w:color="000000" w:sz="2" w:space="0"/>
              <w:left w:val="single" w:color="000000" w:sz="2" w:space="0"/>
              <w:bottom w:val="single" w:color="000000" w:sz="2" w:space="0"/>
              <w:right w:val="single" w:color="000000" w:sz="2" w:space="0"/>
            </w:tcBorders>
          </w:tcPr>
          <w:p w14:paraId="4DC2DDB2">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优先保护单元8</w:t>
            </w:r>
          </w:p>
        </w:tc>
      </w:tr>
      <w:tr w14:paraId="4B71B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38" w:type="pct"/>
          </w:tcPr>
          <w:p w14:paraId="3136E12A">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ZH50010620004</w:t>
            </w:r>
          </w:p>
        </w:tc>
        <w:tc>
          <w:tcPr>
            <w:tcW w:w="2881" w:type="pct"/>
          </w:tcPr>
          <w:p w14:paraId="05B1E098">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高新区工业城镇重点管控单元-沙坪坝部分</w:t>
            </w:r>
          </w:p>
        </w:tc>
        <w:tc>
          <w:tcPr>
            <w:tcW w:w="1081" w:type="pct"/>
            <w:vAlign w:val="center"/>
          </w:tcPr>
          <w:p w14:paraId="20014E97">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重点管控单元1</w:t>
            </w:r>
          </w:p>
        </w:tc>
      </w:tr>
      <w:tr w14:paraId="392C0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38" w:type="pct"/>
          </w:tcPr>
          <w:p w14:paraId="3284B632">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ZH50010720003</w:t>
            </w:r>
          </w:p>
        </w:tc>
        <w:tc>
          <w:tcPr>
            <w:tcW w:w="2881" w:type="pct"/>
          </w:tcPr>
          <w:p w14:paraId="76F3CED7">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高新区工业城镇重点管控单元-九龙坡部分</w:t>
            </w:r>
          </w:p>
        </w:tc>
        <w:tc>
          <w:tcPr>
            <w:tcW w:w="1081" w:type="pct"/>
            <w:vAlign w:val="center"/>
          </w:tcPr>
          <w:p w14:paraId="0765CF4E">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重点管控单元2</w:t>
            </w:r>
          </w:p>
        </w:tc>
      </w:tr>
      <w:tr w14:paraId="12565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38" w:type="pct"/>
          </w:tcPr>
          <w:p w14:paraId="727AE2DC">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ZH50010620007</w:t>
            </w:r>
          </w:p>
        </w:tc>
        <w:tc>
          <w:tcPr>
            <w:tcW w:w="2881" w:type="pct"/>
          </w:tcPr>
          <w:p w14:paraId="54CC98F1">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高新区重点管控单元-梁滩河赖家桥沙坪坝段</w:t>
            </w:r>
          </w:p>
        </w:tc>
        <w:tc>
          <w:tcPr>
            <w:tcW w:w="1081" w:type="pct"/>
            <w:vAlign w:val="center"/>
          </w:tcPr>
          <w:p w14:paraId="77C5911B">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重点管控单元3</w:t>
            </w:r>
          </w:p>
        </w:tc>
      </w:tr>
      <w:tr w14:paraId="2FE3A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38" w:type="pct"/>
          </w:tcPr>
          <w:p w14:paraId="3BAB04E6">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ZH50010720006</w:t>
            </w:r>
          </w:p>
        </w:tc>
        <w:tc>
          <w:tcPr>
            <w:tcW w:w="2881" w:type="pct"/>
          </w:tcPr>
          <w:p w14:paraId="70E227FE">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高新区重点管控单元-梁滩河赖家桥九龙坡段</w:t>
            </w:r>
          </w:p>
        </w:tc>
        <w:tc>
          <w:tcPr>
            <w:tcW w:w="1081" w:type="pct"/>
            <w:vAlign w:val="center"/>
          </w:tcPr>
          <w:p w14:paraId="2C0AF5F5">
            <w:pPr>
              <w:pStyle w:val="31"/>
              <w:snapToGrid w:val="0"/>
              <w:spacing w:line="440" w:lineRule="exact"/>
              <w:jc w:val="center"/>
              <w:rPr>
                <w:rFonts w:ascii="Times New Roman" w:hAnsi="Times New Roman" w:eastAsia="方正仿宋_GBK" w:cs="Times New Roman"/>
                <w:bCs/>
                <w:color w:val="auto"/>
                <w:kern w:val="2"/>
                <w:sz w:val="24"/>
                <w:szCs w:val="24"/>
                <w:lang w:bidi="ar"/>
              </w:rPr>
            </w:pPr>
            <w:r>
              <w:rPr>
                <w:rFonts w:ascii="Times New Roman" w:hAnsi="Times New Roman" w:eastAsia="方正仿宋_GBK" w:cs="Times New Roman"/>
                <w:bCs/>
                <w:color w:val="auto"/>
                <w:kern w:val="2"/>
                <w:sz w:val="24"/>
                <w:szCs w:val="24"/>
                <w:lang w:bidi="ar"/>
              </w:rPr>
              <w:t>重点管控单元4</w:t>
            </w:r>
          </w:p>
        </w:tc>
      </w:tr>
    </w:tbl>
    <w:p w14:paraId="5F9D1B0A">
      <w:pPr>
        <w:pStyle w:val="17"/>
        <w:spacing w:line="360" w:lineRule="auto"/>
        <w:rPr>
          <w:rFonts w:ascii="方正小标宋_GBK" w:eastAsia="方正小标宋_GBK" w:cs="方正仿宋_GBK"/>
          <w:sz w:val="44"/>
          <w:szCs w:val="44"/>
        </w:rPr>
      </w:pPr>
    </w:p>
    <w:p w14:paraId="2493F3E1">
      <w:pPr>
        <w:pStyle w:val="17"/>
        <w:spacing w:line="360" w:lineRule="auto"/>
        <w:rPr>
          <w:rFonts w:ascii="方正小标宋_GBK" w:eastAsia="方正小标宋_GBK" w:cs="方正仿宋_GBK"/>
          <w:sz w:val="44"/>
          <w:szCs w:val="44"/>
        </w:rPr>
        <w:sectPr>
          <w:pgSz w:w="11906" w:h="16838"/>
          <w:pgMar w:top="2098" w:right="1531" w:bottom="1984" w:left="1531" w:header="850" w:footer="1531" w:gutter="0"/>
          <w:cols w:space="0" w:num="1"/>
          <w:docGrid w:linePitch="360" w:charSpace="0"/>
        </w:sectPr>
      </w:pPr>
    </w:p>
    <w:p w14:paraId="0904F5DA">
      <w:pPr>
        <w:keepNext w:val="0"/>
        <w:keepLines w:val="0"/>
        <w:pageBreakBefore w:val="0"/>
        <w:widowControl w:val="0"/>
        <w:kinsoku/>
        <w:wordWrap/>
        <w:overflowPunct/>
        <w:topLinePunct w:val="0"/>
        <w:autoSpaceDE/>
        <w:autoSpaceDN/>
        <w:bidi w:val="0"/>
        <w:adjustRightInd w:val="0"/>
        <w:snapToGrid w:val="0"/>
        <w:spacing w:after="0" w:line="600" w:lineRule="exact"/>
        <w:textAlignment w:val="auto"/>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w:t>
      </w:r>
      <w:r>
        <w:rPr>
          <w:rFonts w:hint="eastAsia" w:ascii="Times New Roman" w:hAnsi="Times New Roman" w:eastAsia="方正黑体_GBK" w:cs="Times New Roman"/>
          <w:sz w:val="32"/>
          <w:szCs w:val="32"/>
          <w:lang w:val="en-US" w:eastAsia="zh-CN"/>
        </w:rPr>
        <w:t>3</w:t>
      </w:r>
    </w:p>
    <w:p w14:paraId="0D1B3D06">
      <w:pPr>
        <w:pStyle w:val="12"/>
        <w:keepNext w:val="0"/>
        <w:keepLines w:val="0"/>
        <w:pageBreakBefore w:val="0"/>
        <w:widowControl w:val="0"/>
        <w:kinsoku/>
        <w:wordWrap/>
        <w:overflowPunct/>
        <w:topLinePunct w:val="0"/>
        <w:autoSpaceDE/>
        <w:autoSpaceDN/>
        <w:bidi w:val="0"/>
        <w:adjustRightInd w:val="0"/>
        <w:snapToGrid w:val="0"/>
        <w:spacing w:after="0" w:line="600" w:lineRule="exact"/>
        <w:ind w:firstLine="0" w:firstLineChars="0"/>
        <w:jc w:val="center"/>
        <w:textAlignment w:val="auto"/>
        <w:rPr>
          <w:rFonts w:ascii="方正小标宋_GBK" w:eastAsia="方正小标宋_GBK"/>
          <w:sz w:val="44"/>
          <w:szCs w:val="44"/>
        </w:rPr>
      </w:pPr>
      <w:r>
        <w:rPr>
          <w:rFonts w:hint="eastAsia" w:ascii="方正小标宋_GBK" w:eastAsia="方正小标宋_GBK"/>
          <w:sz w:val="44"/>
          <w:szCs w:val="44"/>
          <w:lang w:eastAsia="zh-CN"/>
        </w:rPr>
        <w:t>西部科学城</w:t>
      </w:r>
      <w:r>
        <w:rPr>
          <w:rFonts w:hint="eastAsia" w:ascii="方正小标宋_GBK" w:eastAsia="方正小标宋_GBK"/>
          <w:sz w:val="44"/>
          <w:szCs w:val="44"/>
        </w:rPr>
        <w:t>重庆高新区生态环境准入清单总体管控要求（</w:t>
      </w:r>
      <w:r>
        <w:rPr>
          <w:rFonts w:ascii="Times New Roman" w:hAnsi="Times New Roman" w:eastAsia="方正小标宋_GBK"/>
          <w:sz w:val="44"/>
          <w:szCs w:val="44"/>
        </w:rPr>
        <w:t>2023</w:t>
      </w:r>
      <w:r>
        <w:rPr>
          <w:rFonts w:hint="eastAsia" w:ascii="方正小标宋_GBK" w:eastAsia="方正小标宋_GBK"/>
          <w:sz w:val="44"/>
          <w:szCs w:val="44"/>
        </w:rPr>
        <w:t>年）</w:t>
      </w:r>
    </w:p>
    <w:tbl>
      <w:tblPr>
        <w:tblStyle w:val="13"/>
        <w:tblW w:w="5005" w:type="pct"/>
        <w:jc w:val="center"/>
        <w:tblLayout w:type="autofit"/>
        <w:tblCellMar>
          <w:top w:w="0" w:type="dxa"/>
          <w:left w:w="10" w:type="dxa"/>
          <w:bottom w:w="0" w:type="dxa"/>
          <w:right w:w="10" w:type="dxa"/>
        </w:tblCellMar>
      </w:tblPr>
      <w:tblGrid>
        <w:gridCol w:w="1774"/>
        <w:gridCol w:w="11005"/>
      </w:tblGrid>
      <w:tr w14:paraId="2DDA0217">
        <w:tblPrEx>
          <w:tblCellMar>
            <w:top w:w="0" w:type="dxa"/>
            <w:left w:w="10" w:type="dxa"/>
            <w:bottom w:w="0" w:type="dxa"/>
            <w:right w:w="10" w:type="dxa"/>
          </w:tblCellMar>
        </w:tblPrEx>
        <w:trPr>
          <w:cantSplit/>
          <w:trHeight w:val="360" w:hRule="atLeast"/>
          <w:jc w:val="center"/>
        </w:trPr>
        <w:tc>
          <w:tcPr>
            <w:tcW w:w="694" w:type="pct"/>
            <w:vMerge w:val="restar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08995078">
            <w:pPr>
              <w:pStyle w:val="31"/>
              <w:snapToGrid w:val="0"/>
              <w:spacing w:line="360" w:lineRule="exact"/>
              <w:jc w:val="center"/>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管控类型</w:t>
            </w:r>
          </w:p>
        </w:tc>
        <w:tc>
          <w:tcPr>
            <w:tcW w:w="4305" w:type="pct"/>
            <w:vMerge w:val="restar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4A3F37D7">
            <w:pPr>
              <w:pStyle w:val="31"/>
              <w:snapToGrid w:val="0"/>
              <w:spacing w:line="360" w:lineRule="exact"/>
              <w:jc w:val="center"/>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总体管控要求</w:t>
            </w:r>
          </w:p>
        </w:tc>
      </w:tr>
      <w:tr w14:paraId="1AD92ACE">
        <w:tblPrEx>
          <w:tblCellMar>
            <w:top w:w="0" w:type="dxa"/>
            <w:left w:w="10" w:type="dxa"/>
            <w:bottom w:w="0" w:type="dxa"/>
            <w:right w:w="10" w:type="dxa"/>
          </w:tblCellMar>
        </w:tblPrEx>
        <w:trPr>
          <w:cantSplit/>
          <w:trHeight w:val="360" w:hRule="atLeast"/>
          <w:jc w:val="center"/>
        </w:trPr>
        <w:tc>
          <w:tcPr>
            <w:tcW w:w="694" w:type="pct"/>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48F8EA5A">
            <w:pPr>
              <w:pStyle w:val="31"/>
              <w:snapToGrid w:val="0"/>
              <w:spacing w:line="360" w:lineRule="exact"/>
              <w:jc w:val="center"/>
              <w:rPr>
                <w:rFonts w:ascii="方正仿宋_GBK" w:hAnsi="方正仿宋_GBK" w:eastAsia="方正仿宋_GBK" w:cs="方正仿宋_GBK"/>
                <w:bCs/>
                <w:color w:val="auto"/>
                <w:kern w:val="2"/>
                <w:sz w:val="24"/>
                <w:szCs w:val="24"/>
                <w:lang w:bidi="ar"/>
              </w:rPr>
            </w:pPr>
          </w:p>
        </w:tc>
        <w:tc>
          <w:tcPr>
            <w:tcW w:w="4305" w:type="pct"/>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03FFAB47">
            <w:pPr>
              <w:pStyle w:val="31"/>
              <w:snapToGrid w:val="0"/>
              <w:spacing w:line="360" w:lineRule="exact"/>
              <w:rPr>
                <w:rFonts w:ascii="方正仿宋_GBK" w:hAnsi="方正仿宋_GBK" w:eastAsia="方正仿宋_GBK" w:cs="方正仿宋_GBK"/>
                <w:bCs/>
                <w:color w:val="auto"/>
                <w:kern w:val="2"/>
                <w:sz w:val="24"/>
                <w:szCs w:val="24"/>
                <w:lang w:bidi="ar"/>
              </w:rPr>
            </w:pPr>
          </w:p>
        </w:tc>
      </w:tr>
      <w:tr w14:paraId="59C6EF9C">
        <w:tblPrEx>
          <w:tblCellMar>
            <w:top w:w="0" w:type="dxa"/>
            <w:left w:w="10" w:type="dxa"/>
            <w:bottom w:w="0" w:type="dxa"/>
            <w:right w:w="10" w:type="dxa"/>
          </w:tblCellMar>
        </w:tblPrEx>
        <w:trPr>
          <w:cantSplit/>
          <w:jc w:val="center"/>
        </w:trPr>
        <w:tc>
          <w:tcPr>
            <w:tcW w:w="694" w:type="pct"/>
            <w:vMerge w:val="restar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003E95A3">
            <w:pPr>
              <w:pStyle w:val="31"/>
              <w:snapToGrid w:val="0"/>
              <w:spacing w:line="360" w:lineRule="exact"/>
              <w:jc w:val="center"/>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空间布局约束</w:t>
            </w: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07EC5AAF">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第一条  执行重点管控单元市级总体管控要求第四条、第六条、第七条。</w:t>
            </w:r>
          </w:p>
        </w:tc>
      </w:tr>
      <w:tr w14:paraId="2695A464">
        <w:tblPrEx>
          <w:tblCellMar>
            <w:top w:w="0" w:type="dxa"/>
            <w:left w:w="10" w:type="dxa"/>
            <w:bottom w:w="0" w:type="dxa"/>
            <w:right w:w="10" w:type="dxa"/>
          </w:tblCellMar>
        </w:tblPrEx>
        <w:trPr>
          <w:cantSplit/>
          <w:jc w:val="center"/>
        </w:trPr>
        <w:tc>
          <w:tcPr>
            <w:tcW w:w="694" w:type="pct"/>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0AE9FBCC">
            <w:pPr>
              <w:pStyle w:val="31"/>
              <w:snapToGrid w:val="0"/>
              <w:spacing w:line="360" w:lineRule="exact"/>
              <w:jc w:val="center"/>
              <w:rPr>
                <w:rFonts w:ascii="方正仿宋_GBK" w:hAnsi="方正仿宋_GBK" w:eastAsia="方正仿宋_GBK" w:cs="方正仿宋_GBK"/>
                <w:bCs/>
                <w:color w:val="auto"/>
                <w:kern w:val="2"/>
                <w:sz w:val="24"/>
                <w:szCs w:val="24"/>
                <w:lang w:bidi="ar"/>
              </w:rPr>
            </w:pP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6A768E68">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第二条  禁止新建和扩建燃煤火电、化工、水泥、采（碎）石场、烧结砖瓦窑以及燃煤锅炉等项目。禁止在合规园区外新建、扩建钢铁、石化、化工、焦化、建材、有色、制浆造纸等高污染项目（高污染项目严格按照《环境保护综合名录</w:t>
            </w:r>
            <w:r>
              <w:rPr>
                <w:rFonts w:hint="eastAsia" w:ascii="Times New Roman" w:hAnsi="Times New Roman" w:eastAsia="方正仿宋_GBK" w:cs="Times New Roman"/>
                <w:bCs/>
                <w:color w:val="auto"/>
                <w:kern w:val="2"/>
                <w:sz w:val="24"/>
                <w:szCs w:val="24"/>
                <w:lang w:bidi="ar"/>
              </w:rPr>
              <w:t>（2021年版</w:t>
            </w:r>
            <w:r>
              <w:rPr>
                <w:rFonts w:hint="eastAsia" w:ascii="方正仿宋_GBK" w:hAnsi="方正仿宋_GBK" w:eastAsia="方正仿宋_GBK" w:cs="方正仿宋_GBK"/>
                <w:bCs/>
                <w:color w:val="auto"/>
                <w:kern w:val="2"/>
                <w:sz w:val="24"/>
                <w:szCs w:val="24"/>
                <w:lang w:bidi="ar"/>
              </w:rPr>
              <w:t>）》“高污染”产品名录执行）。新建、改建、扩建“两高”项目须符合生态环境保护法律法规和相关法定规划，满足重点污染物排放总量控制、碳排放达峰目标、生态环境准入清单、相关规划环评和相应行业建设项目环境准入条件、环评文件审批原则要求。</w:t>
            </w:r>
          </w:p>
        </w:tc>
      </w:tr>
      <w:tr w14:paraId="0BC24483">
        <w:tblPrEx>
          <w:tblCellMar>
            <w:top w:w="0" w:type="dxa"/>
            <w:left w:w="10" w:type="dxa"/>
            <w:bottom w:w="0" w:type="dxa"/>
            <w:right w:w="10" w:type="dxa"/>
          </w:tblCellMar>
        </w:tblPrEx>
        <w:trPr>
          <w:cantSplit/>
          <w:jc w:val="center"/>
        </w:trPr>
        <w:tc>
          <w:tcPr>
            <w:tcW w:w="694" w:type="pct"/>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79104CB4">
            <w:pPr>
              <w:pStyle w:val="31"/>
              <w:snapToGrid w:val="0"/>
              <w:spacing w:line="360" w:lineRule="exact"/>
              <w:jc w:val="center"/>
              <w:rPr>
                <w:rFonts w:ascii="方正仿宋_GBK" w:hAnsi="方正仿宋_GBK" w:eastAsia="方正仿宋_GBK" w:cs="方正仿宋_GBK"/>
                <w:bCs/>
                <w:color w:val="auto"/>
                <w:kern w:val="2"/>
                <w:sz w:val="24"/>
                <w:szCs w:val="24"/>
                <w:lang w:bidi="ar"/>
              </w:rPr>
            </w:pP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53AE9F01">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第三条  通过改造提升、集约布局、关停并转等方式对“散乱污”企业分类治理。对布局不合理、装备水平低、环保设施差的小型污染企业进行全面排查，制订综合整治方案，有序整治镇村产业集聚区。</w:t>
            </w:r>
          </w:p>
        </w:tc>
      </w:tr>
      <w:tr w14:paraId="1911B5E9">
        <w:tblPrEx>
          <w:tblCellMar>
            <w:top w:w="0" w:type="dxa"/>
            <w:left w:w="10" w:type="dxa"/>
            <w:bottom w:w="0" w:type="dxa"/>
            <w:right w:w="10" w:type="dxa"/>
          </w:tblCellMar>
        </w:tblPrEx>
        <w:trPr>
          <w:cantSplit/>
          <w:jc w:val="center"/>
        </w:trPr>
        <w:tc>
          <w:tcPr>
            <w:tcW w:w="694" w:type="pct"/>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45205830">
            <w:pPr>
              <w:pStyle w:val="31"/>
              <w:snapToGrid w:val="0"/>
              <w:spacing w:line="360" w:lineRule="exact"/>
              <w:jc w:val="center"/>
              <w:rPr>
                <w:rFonts w:ascii="方正仿宋_GBK" w:hAnsi="方正仿宋_GBK" w:eastAsia="方正仿宋_GBK" w:cs="方正仿宋_GBK"/>
                <w:bCs/>
                <w:color w:val="auto"/>
                <w:kern w:val="2"/>
                <w:sz w:val="24"/>
                <w:szCs w:val="24"/>
                <w:lang w:bidi="ar"/>
              </w:rPr>
            </w:pP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752407D6">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第四条  加强对城市建成区等大气环境受体敏感区、辖区西北侧和南侧等大气环境布局敏感区的管控，确保项目引进符合大气环境空间布局的环境要求。</w:t>
            </w:r>
          </w:p>
        </w:tc>
      </w:tr>
      <w:tr w14:paraId="07EB68FD">
        <w:tblPrEx>
          <w:tblCellMar>
            <w:top w:w="0" w:type="dxa"/>
            <w:left w:w="10" w:type="dxa"/>
            <w:bottom w:w="0" w:type="dxa"/>
            <w:right w:w="10" w:type="dxa"/>
          </w:tblCellMar>
        </w:tblPrEx>
        <w:trPr>
          <w:cantSplit/>
          <w:jc w:val="center"/>
        </w:trPr>
        <w:tc>
          <w:tcPr>
            <w:tcW w:w="694" w:type="pct"/>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57F0E79E">
            <w:pPr>
              <w:pStyle w:val="31"/>
              <w:snapToGrid w:val="0"/>
              <w:spacing w:line="360" w:lineRule="exact"/>
              <w:jc w:val="center"/>
              <w:rPr>
                <w:rFonts w:ascii="方正仿宋_GBK" w:hAnsi="方正仿宋_GBK" w:eastAsia="方正仿宋_GBK" w:cs="方正仿宋_GBK"/>
                <w:bCs/>
                <w:color w:val="auto"/>
                <w:kern w:val="2"/>
                <w:sz w:val="24"/>
                <w:szCs w:val="24"/>
                <w:lang w:bidi="ar"/>
              </w:rPr>
            </w:pP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7A57978C">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第五条  长江、嘉陵江的一级支流（梁滩河）河道管理范围外侧，城镇规划建设用地内尚未建设的区域应当控制不少于三十米的绿化缓冲带，非城镇建设用地区域应当控制不少于一百米的绿化缓冲带。长江、嘉陵江的二级、三级支流（莲花滩河、虎溪河）河道管理范围外侧，城镇规划建设用地内尚未建设的区域应当控制不少于十米的绿化缓冲带。</w:t>
            </w:r>
          </w:p>
        </w:tc>
      </w:tr>
      <w:tr w14:paraId="019E920A">
        <w:tblPrEx>
          <w:tblCellMar>
            <w:top w:w="0" w:type="dxa"/>
            <w:left w:w="10" w:type="dxa"/>
            <w:bottom w:w="0" w:type="dxa"/>
            <w:right w:w="10" w:type="dxa"/>
          </w:tblCellMar>
        </w:tblPrEx>
        <w:trPr>
          <w:cantSplit/>
          <w:jc w:val="center"/>
        </w:trPr>
        <w:tc>
          <w:tcPr>
            <w:tcW w:w="694" w:type="pct"/>
            <w:vMerge w:val="restar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36989D12">
            <w:pPr>
              <w:pStyle w:val="31"/>
              <w:snapToGrid w:val="0"/>
              <w:spacing w:line="360" w:lineRule="exact"/>
              <w:jc w:val="center"/>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污染物排放管控</w:t>
            </w: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05FC4A79">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第六条  执行重点管控单元市级总体管控要求第十一条、第十二条、第十四条、第十五条。</w:t>
            </w:r>
          </w:p>
        </w:tc>
      </w:tr>
      <w:tr w14:paraId="63912F07">
        <w:tblPrEx>
          <w:tblCellMar>
            <w:top w:w="0" w:type="dxa"/>
            <w:left w:w="10" w:type="dxa"/>
            <w:bottom w:w="0" w:type="dxa"/>
            <w:right w:w="10" w:type="dxa"/>
          </w:tblCellMar>
        </w:tblPrEx>
        <w:trPr>
          <w:cantSplit/>
          <w:jc w:val="center"/>
        </w:trPr>
        <w:tc>
          <w:tcPr>
            <w:tcW w:w="694" w:type="pct"/>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1D946403">
            <w:pPr>
              <w:pStyle w:val="31"/>
              <w:snapToGrid w:val="0"/>
              <w:spacing w:line="360" w:lineRule="exact"/>
              <w:jc w:val="center"/>
              <w:rPr>
                <w:rFonts w:ascii="方正仿宋_GBK" w:hAnsi="方正仿宋_GBK" w:eastAsia="方正仿宋_GBK" w:cs="方正仿宋_GBK"/>
                <w:bCs/>
                <w:color w:val="auto"/>
                <w:kern w:val="2"/>
                <w:sz w:val="24"/>
                <w:szCs w:val="24"/>
                <w:lang w:bidi="ar"/>
              </w:rPr>
            </w:pP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3CEB2CE7">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第七条  严格落实国家及我市大气污染防控相关要求，对大气环境质量未达标地区，新建、改扩建项目实施更严格的污染物排放总量控制要求。“两高”行业以及其他行业年综合能源消费量当量值</w:t>
            </w:r>
            <w:r>
              <w:rPr>
                <w:rFonts w:hint="eastAsia" w:ascii="Times New Roman" w:hAnsi="Times New Roman" w:eastAsia="方正仿宋_GBK" w:cs="Times New Roman"/>
                <w:bCs/>
                <w:color w:val="auto"/>
                <w:kern w:val="2"/>
                <w:sz w:val="24"/>
                <w:szCs w:val="24"/>
                <w:lang w:bidi="ar"/>
              </w:rPr>
              <w:t>在5000吨</w:t>
            </w:r>
            <w:r>
              <w:rPr>
                <w:rFonts w:hint="eastAsia" w:ascii="方正仿宋_GBK" w:hAnsi="方正仿宋_GBK" w:eastAsia="方正仿宋_GBK" w:cs="方正仿宋_GBK"/>
                <w:bCs/>
                <w:color w:val="auto"/>
                <w:kern w:val="2"/>
                <w:sz w:val="24"/>
                <w:szCs w:val="24"/>
                <w:lang w:bidi="ar"/>
              </w:rPr>
              <w:t>标准煤的建设项目所在区域、流域控制单元环境质量未达到国家或者地方环境质量标准的，建设项目需提出有效的区域削减方案，主要污染物实行区域倍量削减。</w:t>
            </w:r>
          </w:p>
        </w:tc>
      </w:tr>
      <w:tr w14:paraId="0A808217">
        <w:tblPrEx>
          <w:tblCellMar>
            <w:top w:w="0" w:type="dxa"/>
            <w:left w:w="10" w:type="dxa"/>
            <w:bottom w:w="0" w:type="dxa"/>
            <w:right w:w="10" w:type="dxa"/>
          </w:tblCellMar>
        </w:tblPrEx>
        <w:trPr>
          <w:cantSplit/>
          <w:jc w:val="center"/>
        </w:trPr>
        <w:tc>
          <w:tcPr>
            <w:tcW w:w="694" w:type="pct"/>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4AFDDDF9">
            <w:pPr>
              <w:pStyle w:val="31"/>
              <w:snapToGrid w:val="0"/>
              <w:spacing w:line="360" w:lineRule="exact"/>
              <w:jc w:val="center"/>
              <w:rPr>
                <w:rFonts w:ascii="方正仿宋_GBK" w:hAnsi="方正仿宋_GBK" w:eastAsia="方正仿宋_GBK" w:cs="方正仿宋_GBK"/>
                <w:bCs/>
                <w:color w:val="auto"/>
                <w:kern w:val="2"/>
                <w:sz w:val="24"/>
                <w:szCs w:val="24"/>
                <w:lang w:bidi="ar"/>
              </w:rPr>
            </w:pP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0567E247">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第八条  在重点行业（石化、化工、工业涂装、包装印刷、油品储运销等）推进挥发性有机物综合治理，推动低挥发性有机物原辅材料和产品源头替代，推广使用低挥发性有机物含量产品，推动低挥发性有机物含量产品纳入政府绿色采购名录。制药、电子设备制造、包装印刷及其他产生含挥发性有机物废气的生产和服务活动，应当在密闭空间或者设备中进行，并按照规定安装、使用污染防治设施，保持设施正常运行；无法密闭的，应当采取措施减少废气排放。工业涂装企业和涉及喷涂作业的机动车维修服务企业，应当按照规定安装、使用污染防治设施，使用低挥发性有机物含量的原辅材料，或者进行工艺改造，并对原辅材料储运、加工生产、废弃物处置等环节实施全过程控制。储油储气库、加油加气站等，应当开展油气回收治理，按照国家有关规定安装油气回收装置并保持正常使用。有条件的工业集聚区建设集中喷涂工程中心，配备高效治污设施，替代企业独立喷涂工序，对涉及喷漆、喷粉、印刷等废气进行集中处理。</w:t>
            </w:r>
          </w:p>
        </w:tc>
      </w:tr>
      <w:tr w14:paraId="13601FE1">
        <w:tblPrEx>
          <w:tblCellMar>
            <w:top w:w="0" w:type="dxa"/>
            <w:left w:w="10" w:type="dxa"/>
            <w:bottom w:w="0" w:type="dxa"/>
            <w:right w:w="10" w:type="dxa"/>
          </w:tblCellMar>
        </w:tblPrEx>
        <w:trPr>
          <w:cantSplit/>
          <w:jc w:val="center"/>
        </w:trPr>
        <w:tc>
          <w:tcPr>
            <w:tcW w:w="694" w:type="pct"/>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34B1A93D">
            <w:pPr>
              <w:pStyle w:val="31"/>
              <w:snapToGrid w:val="0"/>
              <w:spacing w:line="360" w:lineRule="exact"/>
              <w:jc w:val="center"/>
              <w:rPr>
                <w:rFonts w:ascii="方正仿宋_GBK" w:hAnsi="方正仿宋_GBK" w:eastAsia="方正仿宋_GBK" w:cs="方正仿宋_GBK"/>
                <w:bCs/>
                <w:color w:val="auto"/>
                <w:kern w:val="2"/>
                <w:sz w:val="24"/>
                <w:szCs w:val="24"/>
                <w:lang w:bidi="ar"/>
              </w:rPr>
            </w:pP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2B74CC8F">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第九条  深化工业锅炉和窑炉综合整治，推进园区废气深度</w:t>
            </w:r>
            <w:r>
              <w:rPr>
                <w:rFonts w:hint="eastAsia" w:ascii="Times New Roman" w:hAnsi="Times New Roman" w:eastAsia="方正仿宋_GBK" w:cs="Times New Roman"/>
                <w:bCs/>
                <w:color w:val="auto"/>
                <w:kern w:val="2"/>
                <w:sz w:val="24"/>
                <w:szCs w:val="24"/>
                <w:lang w:bidi="ar"/>
              </w:rPr>
              <w:t>治理，到2025年</w:t>
            </w:r>
            <w:r>
              <w:rPr>
                <w:rFonts w:hint="eastAsia" w:ascii="方正仿宋_GBK" w:hAnsi="方正仿宋_GBK" w:eastAsia="方正仿宋_GBK" w:cs="方正仿宋_GBK"/>
                <w:bCs/>
                <w:color w:val="auto"/>
                <w:kern w:val="2"/>
                <w:sz w:val="24"/>
                <w:szCs w:val="24"/>
                <w:lang w:bidi="ar"/>
              </w:rPr>
              <w:t>，园区内涉气企业废气收集率和达标率显著提升。</w:t>
            </w:r>
          </w:p>
        </w:tc>
      </w:tr>
      <w:tr w14:paraId="34AFCD9C">
        <w:tblPrEx>
          <w:tblCellMar>
            <w:top w:w="0" w:type="dxa"/>
            <w:left w:w="10" w:type="dxa"/>
            <w:bottom w:w="0" w:type="dxa"/>
            <w:right w:w="10" w:type="dxa"/>
          </w:tblCellMar>
        </w:tblPrEx>
        <w:trPr>
          <w:cantSplit/>
          <w:jc w:val="center"/>
        </w:trPr>
        <w:tc>
          <w:tcPr>
            <w:tcW w:w="694" w:type="pct"/>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054D2DFE">
            <w:pPr>
              <w:pStyle w:val="31"/>
              <w:snapToGrid w:val="0"/>
              <w:spacing w:line="360" w:lineRule="exact"/>
              <w:jc w:val="center"/>
              <w:rPr>
                <w:rFonts w:ascii="方正仿宋_GBK" w:hAnsi="方正仿宋_GBK" w:eastAsia="方正仿宋_GBK" w:cs="方正仿宋_GBK"/>
                <w:bCs/>
                <w:color w:val="auto"/>
                <w:kern w:val="2"/>
                <w:sz w:val="24"/>
                <w:szCs w:val="24"/>
                <w:lang w:bidi="ar"/>
              </w:rPr>
            </w:pP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15F0117B">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第十条  大力优化调整交通运输结构，推进货物运输绿色转型，重点工业企业和工业园区大宗货物由公路运输逐步转向铁路运输。严格实施柴油货车及高排放车辆限行，加强货车通行总量控制，对货运车辆（含运渣车）实施按时段、按路线精细化管控。</w:t>
            </w:r>
          </w:p>
        </w:tc>
      </w:tr>
      <w:tr w14:paraId="788EEBE0">
        <w:tblPrEx>
          <w:tblCellMar>
            <w:top w:w="0" w:type="dxa"/>
            <w:left w:w="10" w:type="dxa"/>
            <w:bottom w:w="0" w:type="dxa"/>
            <w:right w:w="10" w:type="dxa"/>
          </w:tblCellMar>
        </w:tblPrEx>
        <w:trPr>
          <w:cantSplit/>
          <w:jc w:val="center"/>
        </w:trPr>
        <w:tc>
          <w:tcPr>
            <w:tcW w:w="694" w:type="pct"/>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0EBD4ADA">
            <w:pPr>
              <w:pStyle w:val="31"/>
              <w:snapToGrid w:val="0"/>
              <w:spacing w:line="360" w:lineRule="exact"/>
              <w:jc w:val="center"/>
              <w:rPr>
                <w:rFonts w:ascii="方正仿宋_GBK" w:hAnsi="方正仿宋_GBK" w:eastAsia="方正仿宋_GBK" w:cs="方正仿宋_GBK"/>
                <w:bCs/>
                <w:color w:val="auto"/>
                <w:kern w:val="2"/>
                <w:sz w:val="24"/>
                <w:szCs w:val="24"/>
                <w:lang w:bidi="ar"/>
              </w:rPr>
            </w:pP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01FD087A">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第十一条  继续强化城市扬尘污染治理，加强施工扬尘、道路扬尘、脏车入城、运输扬尘、绿带积尘以及裸露扬尘“六大环节”管控。加强工业堆场、渣场扬尘管控，建筑面积5万平方米及以上工地出口必须安装</w:t>
            </w:r>
            <w:r>
              <w:rPr>
                <w:rFonts w:hint="eastAsia" w:ascii="Times New Roman" w:hAnsi="Times New Roman" w:eastAsia="方正仿宋_GBK" w:cs="Times New Roman"/>
                <w:bCs/>
                <w:color w:val="auto"/>
                <w:kern w:val="2"/>
                <w:sz w:val="24"/>
                <w:szCs w:val="24"/>
                <w:lang w:bidi="ar"/>
              </w:rPr>
              <w:t>TSP</w:t>
            </w:r>
            <w:r>
              <w:rPr>
                <w:rFonts w:hint="eastAsia" w:ascii="方正仿宋_GBK" w:hAnsi="方正仿宋_GBK" w:eastAsia="方正仿宋_GBK" w:cs="方正仿宋_GBK"/>
                <w:bCs/>
                <w:color w:val="auto"/>
                <w:kern w:val="2"/>
                <w:sz w:val="24"/>
                <w:szCs w:val="24"/>
                <w:lang w:bidi="ar"/>
              </w:rPr>
              <w:t>在线自动监测和视频监控装置。</w:t>
            </w:r>
          </w:p>
        </w:tc>
      </w:tr>
      <w:tr w14:paraId="1D735785">
        <w:tblPrEx>
          <w:tblCellMar>
            <w:top w:w="0" w:type="dxa"/>
            <w:left w:w="10" w:type="dxa"/>
            <w:bottom w:w="0" w:type="dxa"/>
            <w:right w:w="10" w:type="dxa"/>
          </w:tblCellMar>
        </w:tblPrEx>
        <w:trPr>
          <w:cantSplit/>
          <w:jc w:val="center"/>
        </w:trPr>
        <w:tc>
          <w:tcPr>
            <w:tcW w:w="694" w:type="pct"/>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128EF2F1">
            <w:pPr>
              <w:pStyle w:val="31"/>
              <w:snapToGrid w:val="0"/>
              <w:spacing w:line="360" w:lineRule="exact"/>
              <w:jc w:val="center"/>
              <w:rPr>
                <w:rFonts w:ascii="方正仿宋_GBK" w:hAnsi="方正仿宋_GBK" w:eastAsia="方正仿宋_GBK" w:cs="方正仿宋_GBK"/>
                <w:bCs/>
                <w:color w:val="auto"/>
                <w:kern w:val="2"/>
                <w:sz w:val="24"/>
                <w:szCs w:val="24"/>
                <w:lang w:bidi="ar"/>
              </w:rPr>
            </w:pP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30C9B355">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第十二条 排放油烟、异味、废气的餐饮服务业、加工服务业、服装干洗业、机动车维修业等经营者应当使用清洁能源，安装油烟、废气等净化设施并保持正常使用，或者采取其他污染防治措施，使大气污染物达标排放，并建立清洗、维护台账，防止环境污染和废气扰民。</w:t>
            </w:r>
          </w:p>
        </w:tc>
      </w:tr>
      <w:tr w14:paraId="01BA8F52">
        <w:tblPrEx>
          <w:tblCellMar>
            <w:top w:w="0" w:type="dxa"/>
            <w:left w:w="10" w:type="dxa"/>
            <w:bottom w:w="0" w:type="dxa"/>
            <w:right w:w="10" w:type="dxa"/>
          </w:tblCellMar>
        </w:tblPrEx>
        <w:trPr>
          <w:cantSplit/>
          <w:jc w:val="center"/>
        </w:trPr>
        <w:tc>
          <w:tcPr>
            <w:tcW w:w="694" w:type="pct"/>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26F19DE0">
            <w:pPr>
              <w:pStyle w:val="31"/>
              <w:snapToGrid w:val="0"/>
              <w:spacing w:line="360" w:lineRule="exact"/>
              <w:jc w:val="center"/>
              <w:rPr>
                <w:rFonts w:ascii="方正仿宋_GBK" w:hAnsi="方正仿宋_GBK" w:eastAsia="方正仿宋_GBK" w:cs="方正仿宋_GBK"/>
                <w:bCs/>
                <w:color w:val="auto"/>
                <w:kern w:val="2"/>
                <w:sz w:val="24"/>
                <w:szCs w:val="24"/>
                <w:lang w:bidi="ar"/>
              </w:rPr>
            </w:pP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7D92CCA6">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第十三条  加快推进城镇污水管网新建、改建和维护，完成莲花滩河、智能制造园区、曾家片区等区域截污管网建设和改造，完成西永污水处理厂</w:t>
            </w:r>
            <w:r>
              <w:rPr>
                <w:rFonts w:ascii="Times New Roman" w:hAnsi="Times New Roman" w:eastAsia="方正仿宋_GBK" w:cs="Times New Roman"/>
                <w:bCs/>
                <w:color w:val="auto"/>
                <w:kern w:val="2"/>
                <w:sz w:val="24"/>
                <w:szCs w:val="24"/>
                <w:lang w:bidi="ar"/>
              </w:rPr>
              <w:t>C、D</w:t>
            </w:r>
            <w:r>
              <w:rPr>
                <w:rFonts w:hint="eastAsia" w:ascii="方正仿宋_GBK" w:hAnsi="方正仿宋_GBK" w:eastAsia="方正仿宋_GBK" w:cs="方正仿宋_GBK"/>
                <w:bCs/>
                <w:color w:val="auto"/>
                <w:kern w:val="2"/>
                <w:sz w:val="24"/>
                <w:szCs w:val="24"/>
                <w:lang w:bidi="ar"/>
              </w:rPr>
              <w:t>线管网、虎溪主干管等扩建工程，推进现有箱涵式污水管网收集系统逐步改造，到</w:t>
            </w:r>
            <w:r>
              <w:rPr>
                <w:rFonts w:hint="eastAsia" w:ascii="Times New Roman" w:hAnsi="Times New Roman" w:eastAsia="方正仿宋_GBK" w:cs="Times New Roman"/>
                <w:bCs/>
                <w:color w:val="auto"/>
                <w:kern w:val="2"/>
                <w:sz w:val="24"/>
                <w:szCs w:val="24"/>
                <w:lang w:bidi="ar"/>
              </w:rPr>
              <w:t>2025</w:t>
            </w:r>
            <w:r>
              <w:rPr>
                <w:rFonts w:hint="eastAsia" w:ascii="方正仿宋_GBK" w:hAnsi="方正仿宋_GBK" w:eastAsia="方正仿宋_GBK" w:cs="方正仿宋_GBK"/>
                <w:bCs/>
                <w:color w:val="auto"/>
                <w:kern w:val="2"/>
                <w:sz w:val="24"/>
                <w:szCs w:val="24"/>
                <w:lang w:bidi="ar"/>
              </w:rPr>
              <w:t>年，力争实现污水全收集全处理，规模</w:t>
            </w:r>
            <w:r>
              <w:rPr>
                <w:rFonts w:hint="eastAsia" w:ascii="Times New Roman" w:hAnsi="Times New Roman" w:eastAsia="方正仿宋_GBK" w:cs="Times New Roman"/>
                <w:bCs/>
                <w:color w:val="auto"/>
                <w:kern w:val="2"/>
                <w:sz w:val="24"/>
                <w:szCs w:val="24"/>
                <w:lang w:bidi="ar"/>
              </w:rPr>
              <w:t>500t/d</w:t>
            </w:r>
            <w:r>
              <w:rPr>
                <w:rFonts w:hint="eastAsia" w:ascii="方正仿宋_GBK" w:hAnsi="方正仿宋_GBK" w:eastAsia="方正仿宋_GBK" w:cs="方正仿宋_GBK"/>
                <w:bCs/>
                <w:color w:val="auto"/>
                <w:kern w:val="2"/>
                <w:sz w:val="24"/>
                <w:szCs w:val="24"/>
                <w:lang w:bidi="ar"/>
              </w:rPr>
              <w:t>以上的城镇生活污水处理设施安装在线监测设施。</w:t>
            </w:r>
          </w:p>
        </w:tc>
      </w:tr>
      <w:tr w14:paraId="0FB43271">
        <w:tblPrEx>
          <w:tblCellMar>
            <w:top w:w="0" w:type="dxa"/>
            <w:left w:w="10" w:type="dxa"/>
            <w:bottom w:w="0" w:type="dxa"/>
            <w:right w:w="10" w:type="dxa"/>
          </w:tblCellMar>
        </w:tblPrEx>
        <w:trPr>
          <w:cantSplit/>
          <w:jc w:val="center"/>
        </w:trPr>
        <w:tc>
          <w:tcPr>
            <w:tcW w:w="694" w:type="pct"/>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2A161AFA">
            <w:pPr>
              <w:pStyle w:val="31"/>
              <w:snapToGrid w:val="0"/>
              <w:spacing w:line="360" w:lineRule="exact"/>
              <w:jc w:val="center"/>
              <w:rPr>
                <w:rFonts w:ascii="方正仿宋_GBK" w:hAnsi="方正仿宋_GBK" w:eastAsia="方正仿宋_GBK" w:cs="方正仿宋_GBK"/>
                <w:bCs/>
                <w:color w:val="auto"/>
                <w:kern w:val="2"/>
                <w:sz w:val="24"/>
                <w:szCs w:val="24"/>
                <w:lang w:bidi="ar"/>
              </w:rPr>
            </w:pP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2513F019">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第十四条  实施莲花滩河、虎溪河水环境综合整治工程。推进实施梁滩河流域水系连通工程。</w:t>
            </w:r>
          </w:p>
        </w:tc>
      </w:tr>
      <w:tr w14:paraId="664997B4">
        <w:tblPrEx>
          <w:tblCellMar>
            <w:top w:w="0" w:type="dxa"/>
            <w:left w:w="10" w:type="dxa"/>
            <w:bottom w:w="0" w:type="dxa"/>
            <w:right w:w="10" w:type="dxa"/>
          </w:tblCellMar>
        </w:tblPrEx>
        <w:trPr>
          <w:cantSplit/>
          <w:jc w:val="center"/>
        </w:trPr>
        <w:tc>
          <w:tcPr>
            <w:tcW w:w="694" w:type="pct"/>
            <w:vMerge w:val="restar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790A5DA6">
            <w:pPr>
              <w:pStyle w:val="31"/>
              <w:snapToGrid w:val="0"/>
              <w:spacing w:line="360" w:lineRule="exact"/>
              <w:jc w:val="center"/>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环境风险防控</w:t>
            </w: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4666D2C2">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第十五条  执行重点管控单元市级总体管控要求第十六条。</w:t>
            </w:r>
          </w:p>
        </w:tc>
      </w:tr>
      <w:tr w14:paraId="268263D7">
        <w:tblPrEx>
          <w:tblCellMar>
            <w:top w:w="0" w:type="dxa"/>
            <w:left w:w="10" w:type="dxa"/>
            <w:bottom w:w="0" w:type="dxa"/>
            <w:right w:w="10" w:type="dxa"/>
          </w:tblCellMar>
        </w:tblPrEx>
        <w:trPr>
          <w:cantSplit/>
          <w:jc w:val="center"/>
        </w:trPr>
        <w:tc>
          <w:tcPr>
            <w:tcW w:w="694" w:type="pct"/>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1955F382">
            <w:pPr>
              <w:pStyle w:val="31"/>
              <w:snapToGrid w:val="0"/>
              <w:spacing w:line="360" w:lineRule="exact"/>
              <w:jc w:val="center"/>
              <w:rPr>
                <w:rFonts w:ascii="方正仿宋_GBK" w:hAnsi="方正仿宋_GBK" w:eastAsia="方正仿宋_GBK" w:cs="方正仿宋_GBK"/>
                <w:bCs/>
                <w:color w:val="auto"/>
                <w:kern w:val="2"/>
                <w:sz w:val="24"/>
                <w:szCs w:val="24"/>
                <w:lang w:bidi="ar"/>
              </w:rPr>
            </w:pP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4EA2FEB9">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第十六条  依法应当开展土壤污染状况调查或风险评估而未开展或尚未完成调查评估的地块，以及未达到土壤污染风险评估报告确定的风险管控、修复目标的建设用地地块，不得开工建设与风险管控修复无关的项目。</w:t>
            </w:r>
          </w:p>
        </w:tc>
      </w:tr>
      <w:tr w14:paraId="4AEC8669">
        <w:tblPrEx>
          <w:tblCellMar>
            <w:top w:w="0" w:type="dxa"/>
            <w:left w:w="10" w:type="dxa"/>
            <w:bottom w:w="0" w:type="dxa"/>
            <w:right w:w="10" w:type="dxa"/>
          </w:tblCellMar>
        </w:tblPrEx>
        <w:trPr>
          <w:cantSplit/>
          <w:jc w:val="center"/>
        </w:trPr>
        <w:tc>
          <w:tcPr>
            <w:tcW w:w="694" w:type="pct"/>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4CE89CD3">
            <w:pPr>
              <w:pStyle w:val="31"/>
              <w:snapToGrid w:val="0"/>
              <w:spacing w:line="360" w:lineRule="exact"/>
              <w:jc w:val="center"/>
              <w:rPr>
                <w:rFonts w:ascii="方正仿宋_GBK" w:hAnsi="方正仿宋_GBK" w:eastAsia="方正仿宋_GBK" w:cs="方正仿宋_GBK"/>
                <w:bCs/>
                <w:color w:val="auto"/>
                <w:kern w:val="2"/>
                <w:sz w:val="24"/>
                <w:szCs w:val="24"/>
                <w:lang w:bidi="ar"/>
              </w:rPr>
            </w:pP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10F57294">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第十七条  土壤污染重点监管单位应采取措施，保证持续有效防止有毒有害物质渗漏、流失、扬散，并制定自行监测方案，每年开展土壤监测。</w:t>
            </w:r>
          </w:p>
        </w:tc>
      </w:tr>
      <w:tr w14:paraId="58594D3A">
        <w:tblPrEx>
          <w:tblCellMar>
            <w:top w:w="0" w:type="dxa"/>
            <w:left w:w="10" w:type="dxa"/>
            <w:bottom w:w="0" w:type="dxa"/>
            <w:right w:w="10" w:type="dxa"/>
          </w:tblCellMar>
        </w:tblPrEx>
        <w:trPr>
          <w:cantSplit/>
          <w:jc w:val="center"/>
        </w:trPr>
        <w:tc>
          <w:tcPr>
            <w:tcW w:w="694" w:type="pct"/>
            <w:vMerge w:val="restar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3E47DA7A">
            <w:pPr>
              <w:pStyle w:val="31"/>
              <w:snapToGrid w:val="0"/>
              <w:spacing w:line="360" w:lineRule="exact"/>
              <w:jc w:val="center"/>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资源利用效率</w:t>
            </w: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06B5CE7A">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第十八条  执行重点管控单元市级总体管控要求第十八条、第十九条、第二十条、第二十一条、二十二条。</w:t>
            </w:r>
          </w:p>
        </w:tc>
      </w:tr>
      <w:tr w14:paraId="5EC30FC9">
        <w:tblPrEx>
          <w:tblCellMar>
            <w:top w:w="0" w:type="dxa"/>
            <w:left w:w="10" w:type="dxa"/>
            <w:bottom w:w="0" w:type="dxa"/>
            <w:right w:w="10" w:type="dxa"/>
          </w:tblCellMar>
        </w:tblPrEx>
        <w:trPr>
          <w:cantSplit/>
          <w:jc w:val="center"/>
        </w:trPr>
        <w:tc>
          <w:tcPr>
            <w:tcW w:w="694" w:type="pct"/>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0E05292F">
            <w:pPr>
              <w:pStyle w:val="31"/>
              <w:snapToGrid w:val="0"/>
              <w:spacing w:line="360" w:lineRule="exact"/>
              <w:jc w:val="center"/>
              <w:rPr>
                <w:rFonts w:ascii="方正仿宋_GBK" w:hAnsi="方正仿宋_GBK" w:eastAsia="方正仿宋_GBK" w:cs="方正仿宋_GBK"/>
                <w:bCs/>
                <w:color w:val="auto"/>
                <w:kern w:val="2"/>
                <w:sz w:val="24"/>
                <w:szCs w:val="24"/>
                <w:lang w:bidi="ar"/>
              </w:rPr>
            </w:pPr>
          </w:p>
        </w:tc>
        <w:tc>
          <w:tcPr>
            <w:tcW w:w="4305" w:type="pc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70787A60">
            <w:pPr>
              <w:pStyle w:val="31"/>
              <w:snapToGrid w:val="0"/>
              <w:spacing w:line="360" w:lineRule="exact"/>
              <w:rPr>
                <w:rFonts w:ascii="方正仿宋_GBK" w:hAnsi="方正仿宋_GBK" w:eastAsia="方正仿宋_GBK" w:cs="方正仿宋_GBK"/>
                <w:bCs/>
                <w:color w:val="auto"/>
                <w:kern w:val="2"/>
                <w:sz w:val="24"/>
                <w:szCs w:val="24"/>
                <w:lang w:bidi="ar"/>
              </w:rPr>
            </w:pPr>
            <w:r>
              <w:rPr>
                <w:rFonts w:hint="eastAsia" w:ascii="方正仿宋_GBK" w:hAnsi="方正仿宋_GBK" w:eastAsia="方正仿宋_GBK" w:cs="方正仿宋_GBK"/>
                <w:bCs/>
                <w:color w:val="auto"/>
                <w:kern w:val="2"/>
                <w:sz w:val="24"/>
                <w:szCs w:val="24"/>
                <w:lang w:bidi="ar"/>
              </w:rPr>
              <w:t>第十九条  高污染燃料禁燃区内，禁止销售和使用原煤、煤矸石、重油、渣油、石油焦、木柴、秸秆等国家和本市规定的高污染燃料。企业新建、改扩建项目不得采购使用能效低于《重点用能产品设备能效先进水平、节能水平和准入水平》准入水平的产品设备准入水平，鼓励使用达到节能水平、先进水平的产品设备。</w:t>
            </w:r>
          </w:p>
        </w:tc>
      </w:tr>
    </w:tbl>
    <w:p w14:paraId="65993330">
      <w:pPr>
        <w:pStyle w:val="17"/>
        <w:jc w:val="both"/>
        <w:rPr>
          <w:rFonts w:hint="eastAsia" w:ascii="方正黑体_GBK" w:hAnsi="方正黑体_GBK" w:eastAsia="方正黑体_GBK" w:cs="方正黑体_GBK"/>
          <w:sz w:val="28"/>
          <w:szCs w:val="28"/>
          <w:lang w:val="en-US" w:eastAsia="zh-CN"/>
        </w:rPr>
      </w:pPr>
      <w:bookmarkStart w:id="0" w:name="_GoBack"/>
      <w:bookmarkEnd w:id="0"/>
    </w:p>
    <w:sectPr>
      <w:pgSz w:w="16838" w:h="11906" w:orient="landscape"/>
      <w:pgMar w:top="1531" w:right="2098" w:bottom="1531" w:left="1984" w:header="850" w:footer="1531" w:gutter="0"/>
      <w:paperSrc/>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0" w:usb3="00000000" w:csb0="0000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7B0339">
    <w:pPr>
      <w:pStyle w:val="8"/>
      <w:ind w:right="18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22669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2266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55C1C9">
                          <w:pPr>
                            <w:pStyle w:val="8"/>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17.85pt;width:144pt;mso-position-horizontal:outside;mso-position-horizontal-relative:margin;mso-wrap-style:none;z-index:251659264;mso-width-relative:page;mso-height-relative:page;" filled="f" stroked="f" coordsize="21600,21600" o:gfxdata="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ISdFhrUAAAABAEAAA8AAAAAAAAAAQAgAAAAIgAAAGRycy9kb3ducmV2LnhtbFBLAQIU&#10;ABQAAAAIAIdO4kBEXbygMAIAAFYEAAAOAAAAAAAAAAEAIAAAACMBAABkcnMvZTJvRG9jLnhtbFBL&#10;BQYAAAAABgAGAFkBAADFBQAAAAA=&#10;">
              <v:fill on="f" focussize="0,0"/>
              <v:stroke on="f" weight="0.5pt"/>
              <v:imagedata o:title=""/>
              <o:lock v:ext="edit" aspectratio="f"/>
              <v:textbox inset="0mm,0mm,0mm,0mm">
                <w:txbxContent>
                  <w:p w14:paraId="0955C1C9">
                    <w:pPr>
                      <w:pStyle w:val="8"/>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37DA7B">
    <w:pPr>
      <w:pStyle w:val="8"/>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1EA837">
                          <w:pPr>
                            <w:pStyle w:val="8"/>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4</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xmuc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OrKSWaKVT8/OP7&#10;+efv869vBGcQqLF+jrgHi8jQvjMt2mY49ziMvNvSqfgFIwI/5D1d5BVtIDxemk1nszFcHL5hA/zs&#10;6bp1PrwXRpFo5NShfklWdtz60IUOITGbNptaylRDqUmT0+urt+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xmuctAgAAVwQAAA4AAAAAAAAAAQAgAAAAHwEAAGRycy9lMm9Eb2MueG1sUEsFBgAAAAAG&#10;AAYAWQEAAL4FAAAAAA==&#10;">
              <v:fill on="f" focussize="0,0"/>
              <v:stroke on="f" weight="0.5pt"/>
              <v:imagedata o:title=""/>
              <o:lock v:ext="edit" aspectratio="f"/>
              <v:textbox inset="0mm,0mm,0mm,0mm" style="mso-fit-shape-to-text:t;">
                <w:txbxContent>
                  <w:p w14:paraId="5A1EA837">
                    <w:pPr>
                      <w:pStyle w:val="8"/>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4</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387FE">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F3FD37">
    <w:pPr>
      <w:pStyle w:val="30"/>
      <w:pBdr>
        <w:bottom w:val="none" w:color="auto" w:sz="0" w:space="0"/>
      </w:pBdr>
      <w:rPr>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wZTY5ZDNhMmFjNGFlZGJiY2M0MDg2ZDBiMmYyNDAifQ=="/>
  </w:docVars>
  <w:rsids>
    <w:rsidRoot w:val="002C5AC2"/>
    <w:rsid w:val="0001783B"/>
    <w:rsid w:val="000215C4"/>
    <w:rsid w:val="00022378"/>
    <w:rsid w:val="00033AC1"/>
    <w:rsid w:val="00067ABA"/>
    <w:rsid w:val="00076AB3"/>
    <w:rsid w:val="00106F5C"/>
    <w:rsid w:val="0011578B"/>
    <w:rsid w:val="0012646D"/>
    <w:rsid w:val="0014342C"/>
    <w:rsid w:val="00147520"/>
    <w:rsid w:val="0015633C"/>
    <w:rsid w:val="00184F5B"/>
    <w:rsid w:val="0019323D"/>
    <w:rsid w:val="001A666E"/>
    <w:rsid w:val="001B4230"/>
    <w:rsid w:val="001D1005"/>
    <w:rsid w:val="001F7E0D"/>
    <w:rsid w:val="002019F6"/>
    <w:rsid w:val="0024200A"/>
    <w:rsid w:val="00282F29"/>
    <w:rsid w:val="0029149A"/>
    <w:rsid w:val="002B4D92"/>
    <w:rsid w:val="002C3E1A"/>
    <w:rsid w:val="002C5AC2"/>
    <w:rsid w:val="002D3818"/>
    <w:rsid w:val="0031479B"/>
    <w:rsid w:val="00327145"/>
    <w:rsid w:val="00335F21"/>
    <w:rsid w:val="00337E1F"/>
    <w:rsid w:val="003634A9"/>
    <w:rsid w:val="00363753"/>
    <w:rsid w:val="00363B24"/>
    <w:rsid w:val="003A04AF"/>
    <w:rsid w:val="003A23A8"/>
    <w:rsid w:val="003D1FB3"/>
    <w:rsid w:val="003F5DFD"/>
    <w:rsid w:val="00405DB8"/>
    <w:rsid w:val="00413414"/>
    <w:rsid w:val="00422542"/>
    <w:rsid w:val="00424C27"/>
    <w:rsid w:val="00432AB9"/>
    <w:rsid w:val="00436F7A"/>
    <w:rsid w:val="00460161"/>
    <w:rsid w:val="004947C8"/>
    <w:rsid w:val="004A17A7"/>
    <w:rsid w:val="0050194C"/>
    <w:rsid w:val="00504267"/>
    <w:rsid w:val="00522133"/>
    <w:rsid w:val="00522202"/>
    <w:rsid w:val="00523563"/>
    <w:rsid w:val="00526E26"/>
    <w:rsid w:val="00537A6A"/>
    <w:rsid w:val="00552B1A"/>
    <w:rsid w:val="005B0BA1"/>
    <w:rsid w:val="005B307A"/>
    <w:rsid w:val="005E10B1"/>
    <w:rsid w:val="005F2F9A"/>
    <w:rsid w:val="00616A19"/>
    <w:rsid w:val="0063210F"/>
    <w:rsid w:val="006402C3"/>
    <w:rsid w:val="00641E51"/>
    <w:rsid w:val="0064783D"/>
    <w:rsid w:val="00662E98"/>
    <w:rsid w:val="00674B74"/>
    <w:rsid w:val="0067704A"/>
    <w:rsid w:val="00680ADC"/>
    <w:rsid w:val="006873C0"/>
    <w:rsid w:val="006876E0"/>
    <w:rsid w:val="006945A0"/>
    <w:rsid w:val="006F7A66"/>
    <w:rsid w:val="00722137"/>
    <w:rsid w:val="00725E30"/>
    <w:rsid w:val="007412D5"/>
    <w:rsid w:val="00772BC2"/>
    <w:rsid w:val="00784CE5"/>
    <w:rsid w:val="007C320C"/>
    <w:rsid w:val="007D3C78"/>
    <w:rsid w:val="007E142C"/>
    <w:rsid w:val="007F6BE7"/>
    <w:rsid w:val="0085647A"/>
    <w:rsid w:val="00866CFC"/>
    <w:rsid w:val="008769FA"/>
    <w:rsid w:val="00880BE9"/>
    <w:rsid w:val="00883465"/>
    <w:rsid w:val="00895B00"/>
    <w:rsid w:val="008D20C0"/>
    <w:rsid w:val="008D7E75"/>
    <w:rsid w:val="008E430C"/>
    <w:rsid w:val="009369CD"/>
    <w:rsid w:val="00952D08"/>
    <w:rsid w:val="00953B21"/>
    <w:rsid w:val="00966C07"/>
    <w:rsid w:val="009905AB"/>
    <w:rsid w:val="009C20B0"/>
    <w:rsid w:val="009E3F7F"/>
    <w:rsid w:val="009F0E33"/>
    <w:rsid w:val="009F5101"/>
    <w:rsid w:val="00A27B8B"/>
    <w:rsid w:val="00A57EB1"/>
    <w:rsid w:val="00A66C6F"/>
    <w:rsid w:val="00A810FB"/>
    <w:rsid w:val="00A918DD"/>
    <w:rsid w:val="00A932F5"/>
    <w:rsid w:val="00AA0803"/>
    <w:rsid w:val="00AB02C8"/>
    <w:rsid w:val="00AB0EC7"/>
    <w:rsid w:val="00AD68FC"/>
    <w:rsid w:val="00AE5A96"/>
    <w:rsid w:val="00B1632F"/>
    <w:rsid w:val="00B2495B"/>
    <w:rsid w:val="00B457B1"/>
    <w:rsid w:val="00B56FDE"/>
    <w:rsid w:val="00B712E1"/>
    <w:rsid w:val="00B81D65"/>
    <w:rsid w:val="00BA1A88"/>
    <w:rsid w:val="00BA70FF"/>
    <w:rsid w:val="00BE44F6"/>
    <w:rsid w:val="00C02C8A"/>
    <w:rsid w:val="00C1251F"/>
    <w:rsid w:val="00C300AC"/>
    <w:rsid w:val="00C30E1F"/>
    <w:rsid w:val="00C45142"/>
    <w:rsid w:val="00C537C1"/>
    <w:rsid w:val="00C55B15"/>
    <w:rsid w:val="00CB0D5F"/>
    <w:rsid w:val="00CC1164"/>
    <w:rsid w:val="00CC527E"/>
    <w:rsid w:val="00CE12B5"/>
    <w:rsid w:val="00CF0F5A"/>
    <w:rsid w:val="00D148EC"/>
    <w:rsid w:val="00D15813"/>
    <w:rsid w:val="00D462DA"/>
    <w:rsid w:val="00D50981"/>
    <w:rsid w:val="00D826EA"/>
    <w:rsid w:val="00D8523F"/>
    <w:rsid w:val="00D86F7D"/>
    <w:rsid w:val="00DA008A"/>
    <w:rsid w:val="00DB754F"/>
    <w:rsid w:val="00E13436"/>
    <w:rsid w:val="00E337D5"/>
    <w:rsid w:val="00E77C51"/>
    <w:rsid w:val="00EA56B8"/>
    <w:rsid w:val="00EB258A"/>
    <w:rsid w:val="00EC3BC2"/>
    <w:rsid w:val="00EE76C5"/>
    <w:rsid w:val="00F21F15"/>
    <w:rsid w:val="00F2325C"/>
    <w:rsid w:val="00F42C59"/>
    <w:rsid w:val="00F46F5F"/>
    <w:rsid w:val="00F55526"/>
    <w:rsid w:val="00FC47ED"/>
    <w:rsid w:val="00FD64F1"/>
    <w:rsid w:val="00FE67F4"/>
    <w:rsid w:val="01523E74"/>
    <w:rsid w:val="019D115B"/>
    <w:rsid w:val="022216F4"/>
    <w:rsid w:val="02222A58"/>
    <w:rsid w:val="0285404E"/>
    <w:rsid w:val="03011BBD"/>
    <w:rsid w:val="0412063E"/>
    <w:rsid w:val="06F8665A"/>
    <w:rsid w:val="07FF4AF8"/>
    <w:rsid w:val="08055372"/>
    <w:rsid w:val="08601880"/>
    <w:rsid w:val="0BF11918"/>
    <w:rsid w:val="0D2C3CDA"/>
    <w:rsid w:val="0D374B59"/>
    <w:rsid w:val="0E5E2E24"/>
    <w:rsid w:val="0EA74904"/>
    <w:rsid w:val="0F966920"/>
    <w:rsid w:val="10D57DA2"/>
    <w:rsid w:val="117027AD"/>
    <w:rsid w:val="13C7650B"/>
    <w:rsid w:val="16663368"/>
    <w:rsid w:val="189D7CC1"/>
    <w:rsid w:val="1956292A"/>
    <w:rsid w:val="1ABE598F"/>
    <w:rsid w:val="1BE93F65"/>
    <w:rsid w:val="1D0C08E6"/>
    <w:rsid w:val="1F240CB5"/>
    <w:rsid w:val="1F2448BB"/>
    <w:rsid w:val="1FA436EA"/>
    <w:rsid w:val="20046259"/>
    <w:rsid w:val="21226214"/>
    <w:rsid w:val="220B7F0B"/>
    <w:rsid w:val="244A1313"/>
    <w:rsid w:val="267749A7"/>
    <w:rsid w:val="26B96187"/>
    <w:rsid w:val="26D27249"/>
    <w:rsid w:val="2912392D"/>
    <w:rsid w:val="294230B6"/>
    <w:rsid w:val="29567A3B"/>
    <w:rsid w:val="29C56224"/>
    <w:rsid w:val="2B786611"/>
    <w:rsid w:val="2D18228B"/>
    <w:rsid w:val="2FB703C9"/>
    <w:rsid w:val="300E672F"/>
    <w:rsid w:val="30153E59"/>
    <w:rsid w:val="309F5A72"/>
    <w:rsid w:val="31FB21A2"/>
    <w:rsid w:val="3347360D"/>
    <w:rsid w:val="342B3A63"/>
    <w:rsid w:val="35FC7E3E"/>
    <w:rsid w:val="36055C02"/>
    <w:rsid w:val="37DE4A19"/>
    <w:rsid w:val="38165D0C"/>
    <w:rsid w:val="383C715F"/>
    <w:rsid w:val="38F1642C"/>
    <w:rsid w:val="391B7ACD"/>
    <w:rsid w:val="393D7AFB"/>
    <w:rsid w:val="3AB04E7A"/>
    <w:rsid w:val="3BE556D1"/>
    <w:rsid w:val="3C736794"/>
    <w:rsid w:val="3CF57C46"/>
    <w:rsid w:val="3E7C3FC6"/>
    <w:rsid w:val="3EEF6A08"/>
    <w:rsid w:val="3F47777F"/>
    <w:rsid w:val="42905F67"/>
    <w:rsid w:val="42DB34AE"/>
    <w:rsid w:val="43BE5141"/>
    <w:rsid w:val="44F80373"/>
    <w:rsid w:val="46064AB5"/>
    <w:rsid w:val="462A1EAB"/>
    <w:rsid w:val="463F1DAD"/>
    <w:rsid w:val="4A5D7178"/>
    <w:rsid w:val="4B627223"/>
    <w:rsid w:val="4B93002B"/>
    <w:rsid w:val="4F190528"/>
    <w:rsid w:val="4F530677"/>
    <w:rsid w:val="4FB64D53"/>
    <w:rsid w:val="516A3A56"/>
    <w:rsid w:val="51DC0DF8"/>
    <w:rsid w:val="525941F7"/>
    <w:rsid w:val="530C1669"/>
    <w:rsid w:val="55967510"/>
    <w:rsid w:val="572946AB"/>
    <w:rsid w:val="57790E97"/>
    <w:rsid w:val="57E01AB4"/>
    <w:rsid w:val="58E902D0"/>
    <w:rsid w:val="59FA5928"/>
    <w:rsid w:val="5AFD76E2"/>
    <w:rsid w:val="5D84546F"/>
    <w:rsid w:val="5E6661CA"/>
    <w:rsid w:val="5F144150"/>
    <w:rsid w:val="5FB7391E"/>
    <w:rsid w:val="60653448"/>
    <w:rsid w:val="61BA1375"/>
    <w:rsid w:val="621A0C83"/>
    <w:rsid w:val="64C00105"/>
    <w:rsid w:val="651F4987"/>
    <w:rsid w:val="6522638A"/>
    <w:rsid w:val="65F01406"/>
    <w:rsid w:val="66172C44"/>
    <w:rsid w:val="66AD69D7"/>
    <w:rsid w:val="693876C3"/>
    <w:rsid w:val="69CD1BF9"/>
    <w:rsid w:val="6BE46354"/>
    <w:rsid w:val="6CB14342"/>
    <w:rsid w:val="6E2D0905"/>
    <w:rsid w:val="6E38253C"/>
    <w:rsid w:val="6E473D79"/>
    <w:rsid w:val="7037383D"/>
    <w:rsid w:val="71254813"/>
    <w:rsid w:val="741D62EA"/>
    <w:rsid w:val="750C39A8"/>
    <w:rsid w:val="75376308"/>
    <w:rsid w:val="76A22F2E"/>
    <w:rsid w:val="776D110A"/>
    <w:rsid w:val="79F3048D"/>
    <w:rsid w:val="7C0A6B5F"/>
    <w:rsid w:val="7C50757E"/>
    <w:rsid w:val="7D6F0AAD"/>
    <w:rsid w:val="7E1E1F14"/>
    <w:rsid w:val="7F2242B3"/>
    <w:rsid w:val="7FFB69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iPriority="0"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4">
    <w:name w:val="heading 1"/>
    <w:basedOn w:val="1"/>
    <w:next w:val="1"/>
    <w:autoRedefine/>
    <w:qFormat/>
    <w:uiPriority w:val="9"/>
    <w:pPr>
      <w:spacing w:before="100" w:beforeAutospacing="1" w:after="100" w:afterAutospacing="1"/>
      <w:outlineLvl w:val="0"/>
    </w:pPr>
    <w:rPr>
      <w:rFonts w:hint="eastAsia" w:ascii="宋体" w:hAnsi="宋体" w:eastAsia="宋体"/>
      <w:b/>
      <w:kern w:val="44"/>
      <w:sz w:val="48"/>
      <w:szCs w:val="48"/>
    </w:rPr>
  </w:style>
  <w:style w:type="character" w:default="1" w:styleId="14">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pacing w:after="120"/>
    </w:pPr>
  </w:style>
  <w:style w:type="paragraph" w:styleId="3">
    <w:name w:val="toc 5"/>
    <w:basedOn w:val="1"/>
    <w:next w:val="1"/>
    <w:unhideWhenUsed/>
    <w:qFormat/>
    <w:uiPriority w:val="0"/>
    <w:pPr>
      <w:spacing w:beforeLines="0" w:afterLines="0"/>
      <w:ind w:left="1680" w:leftChars="800"/>
    </w:pPr>
    <w:rPr>
      <w:rFonts w:hint="default"/>
      <w:sz w:val="32"/>
      <w:szCs w:val="24"/>
    </w:rPr>
  </w:style>
  <w:style w:type="paragraph" w:styleId="5">
    <w:name w:val="table of authorities"/>
    <w:basedOn w:val="1"/>
    <w:next w:val="1"/>
    <w:autoRedefine/>
    <w:qFormat/>
    <w:uiPriority w:val="0"/>
    <w:pPr>
      <w:widowControl w:val="0"/>
      <w:adjustRightInd/>
      <w:snapToGrid/>
      <w:spacing w:after="0"/>
      <w:ind w:left="420" w:leftChars="200"/>
      <w:jc w:val="both"/>
    </w:pPr>
    <w:rPr>
      <w:rFonts w:ascii="Times New Roman" w:hAnsi="Times New Roman" w:eastAsia="宋体"/>
      <w:kern w:val="2"/>
      <w:sz w:val="21"/>
      <w:szCs w:val="20"/>
    </w:rPr>
  </w:style>
  <w:style w:type="paragraph" w:styleId="6">
    <w:name w:val="Normal Indent"/>
    <w:basedOn w:val="1"/>
    <w:next w:val="1"/>
    <w:autoRedefine/>
    <w:qFormat/>
    <w:uiPriority w:val="0"/>
    <w:pPr>
      <w:ind w:firstLine="200" w:firstLineChars="200"/>
    </w:pPr>
    <w:rPr>
      <w:szCs w:val="32"/>
    </w:rPr>
  </w:style>
  <w:style w:type="paragraph" w:styleId="7">
    <w:name w:val="Balloon Text"/>
    <w:basedOn w:val="1"/>
    <w:link w:val="23"/>
    <w:autoRedefine/>
    <w:semiHidden/>
    <w:unhideWhenUsed/>
    <w:qFormat/>
    <w:uiPriority w:val="99"/>
    <w:pPr>
      <w:spacing w:after="0"/>
    </w:pPr>
    <w:rPr>
      <w:sz w:val="18"/>
      <w:szCs w:val="18"/>
    </w:rPr>
  </w:style>
  <w:style w:type="paragraph" w:styleId="8">
    <w:name w:val="footer"/>
    <w:basedOn w:val="1"/>
    <w:link w:val="19"/>
    <w:autoRedefine/>
    <w:unhideWhenUsed/>
    <w:qFormat/>
    <w:uiPriority w:val="99"/>
    <w:pPr>
      <w:tabs>
        <w:tab w:val="center" w:pos="4153"/>
        <w:tab w:val="right" w:pos="8306"/>
      </w:tabs>
    </w:pPr>
    <w:rPr>
      <w:sz w:val="18"/>
      <w:szCs w:val="18"/>
    </w:rPr>
  </w:style>
  <w:style w:type="paragraph" w:styleId="9">
    <w:name w:val="header"/>
    <w:basedOn w:val="1"/>
    <w:link w:val="18"/>
    <w:autoRedefine/>
    <w:unhideWhenUsed/>
    <w:qFormat/>
    <w:uiPriority w:val="0"/>
    <w:pPr>
      <w:pBdr>
        <w:bottom w:val="single" w:color="auto" w:sz="6" w:space="1"/>
      </w:pBdr>
      <w:tabs>
        <w:tab w:val="center" w:pos="4153"/>
        <w:tab w:val="right" w:pos="8306"/>
      </w:tabs>
      <w:jc w:val="center"/>
    </w:pPr>
    <w:rPr>
      <w:sz w:val="18"/>
      <w:szCs w:val="18"/>
    </w:rPr>
  </w:style>
  <w:style w:type="paragraph" w:styleId="10">
    <w:name w:val="Normal (Web)"/>
    <w:basedOn w:val="1"/>
    <w:autoRedefine/>
    <w:qFormat/>
    <w:uiPriority w:val="99"/>
    <w:pPr>
      <w:adjustRightInd/>
      <w:snapToGrid/>
      <w:spacing w:before="100" w:beforeAutospacing="1" w:after="100" w:afterAutospacing="1"/>
    </w:pPr>
    <w:rPr>
      <w:rFonts w:ascii="宋体" w:hAnsi="Calibri" w:eastAsia="宋体" w:cs="宋体"/>
      <w:sz w:val="24"/>
      <w:szCs w:val="24"/>
    </w:rPr>
  </w:style>
  <w:style w:type="paragraph" w:styleId="11">
    <w:name w:val="Title"/>
    <w:basedOn w:val="1"/>
    <w:next w:val="1"/>
    <w:autoRedefine/>
    <w:qFormat/>
    <w:uiPriority w:val="10"/>
    <w:pPr>
      <w:spacing w:before="240" w:after="60"/>
      <w:jc w:val="center"/>
      <w:outlineLvl w:val="0"/>
    </w:pPr>
    <w:rPr>
      <w:rFonts w:ascii="Calibri Light" w:hAnsi="Calibri Light"/>
      <w:b/>
      <w:bCs/>
      <w:szCs w:val="32"/>
    </w:rPr>
  </w:style>
  <w:style w:type="paragraph" w:styleId="12">
    <w:name w:val="Body Text First Indent"/>
    <w:basedOn w:val="2"/>
    <w:autoRedefine/>
    <w:qFormat/>
    <w:uiPriority w:val="0"/>
    <w:pPr>
      <w:spacing w:after="160"/>
      <w:ind w:firstLine="420" w:firstLineChars="100"/>
    </w:pPr>
  </w:style>
  <w:style w:type="character" w:styleId="15">
    <w:name w:val="page number"/>
    <w:basedOn w:val="14"/>
    <w:autoRedefine/>
    <w:qFormat/>
    <w:uiPriority w:val="0"/>
  </w:style>
  <w:style w:type="character" w:styleId="16">
    <w:name w:val="Hyperlink"/>
    <w:basedOn w:val="14"/>
    <w:autoRedefine/>
    <w:semiHidden/>
    <w:unhideWhenUsed/>
    <w:qFormat/>
    <w:uiPriority w:val="99"/>
    <w:rPr>
      <w:color w:val="0000FF"/>
      <w:u w:val="single"/>
    </w:rPr>
  </w:style>
  <w:style w:type="paragraph" w:customStyle="1" w:styleId="17">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18">
    <w:name w:val="页眉 Char"/>
    <w:basedOn w:val="14"/>
    <w:link w:val="9"/>
    <w:autoRedefine/>
    <w:qFormat/>
    <w:uiPriority w:val="99"/>
    <w:rPr>
      <w:sz w:val="18"/>
      <w:szCs w:val="18"/>
    </w:rPr>
  </w:style>
  <w:style w:type="character" w:customStyle="1" w:styleId="19">
    <w:name w:val="页脚 Char"/>
    <w:basedOn w:val="14"/>
    <w:link w:val="8"/>
    <w:autoRedefine/>
    <w:qFormat/>
    <w:uiPriority w:val="99"/>
    <w:rPr>
      <w:sz w:val="18"/>
      <w:szCs w:val="18"/>
    </w:rPr>
  </w:style>
  <w:style w:type="character" w:customStyle="1" w:styleId="20">
    <w:name w:val="NormalCharacter"/>
    <w:autoRedefine/>
    <w:qFormat/>
    <w:uiPriority w:val="0"/>
  </w:style>
  <w:style w:type="paragraph" w:customStyle="1" w:styleId="21">
    <w:name w:val="修订1"/>
    <w:autoRedefine/>
    <w:hidden/>
    <w:semiHidden/>
    <w:qFormat/>
    <w:uiPriority w:val="99"/>
    <w:rPr>
      <w:rFonts w:ascii="Tahoma" w:hAnsi="Tahoma" w:eastAsia="微软雅黑" w:cs="Times New Roman"/>
      <w:sz w:val="22"/>
      <w:szCs w:val="22"/>
      <w:lang w:val="en-US" w:eastAsia="zh-CN" w:bidi="ar-SA"/>
    </w:rPr>
  </w:style>
  <w:style w:type="paragraph" w:customStyle="1" w:styleId="22">
    <w:name w:val="修订2"/>
    <w:autoRedefine/>
    <w:hidden/>
    <w:semiHidden/>
    <w:qFormat/>
    <w:uiPriority w:val="99"/>
    <w:rPr>
      <w:rFonts w:ascii="Tahoma" w:hAnsi="Tahoma" w:eastAsia="微软雅黑" w:cs="Times New Roman"/>
      <w:sz w:val="22"/>
      <w:szCs w:val="22"/>
      <w:lang w:val="en-US" w:eastAsia="zh-CN" w:bidi="ar-SA"/>
    </w:rPr>
  </w:style>
  <w:style w:type="character" w:customStyle="1" w:styleId="23">
    <w:name w:val="批注框文本 Char"/>
    <w:basedOn w:val="14"/>
    <w:link w:val="7"/>
    <w:autoRedefine/>
    <w:semiHidden/>
    <w:qFormat/>
    <w:uiPriority w:val="99"/>
    <w:rPr>
      <w:rFonts w:ascii="Tahoma" w:hAnsi="Tahoma" w:eastAsia="微软雅黑" w:cs="Times New Roman"/>
      <w:sz w:val="18"/>
      <w:szCs w:val="18"/>
    </w:rPr>
  </w:style>
  <w:style w:type="paragraph" w:customStyle="1" w:styleId="24">
    <w:name w:val="列表段落1"/>
    <w:basedOn w:val="1"/>
    <w:autoRedefine/>
    <w:qFormat/>
    <w:uiPriority w:val="0"/>
    <w:pPr>
      <w:widowControl w:val="0"/>
      <w:adjustRightInd/>
      <w:snapToGrid/>
      <w:spacing w:after="0"/>
      <w:ind w:firstLine="420" w:firstLineChars="200"/>
      <w:jc w:val="both"/>
    </w:pPr>
    <w:rPr>
      <w:rFonts w:ascii="Times New Roman" w:hAnsi="Times New Roman" w:eastAsia="宋体"/>
      <w:kern w:val="2"/>
      <w:sz w:val="21"/>
    </w:rPr>
  </w:style>
  <w:style w:type="character" w:customStyle="1" w:styleId="25">
    <w:name w:val="UserStyle_0"/>
    <w:autoRedefine/>
    <w:semiHidden/>
    <w:qFormat/>
    <w:uiPriority w:val="0"/>
  </w:style>
  <w:style w:type="paragraph" w:customStyle="1" w:styleId="26">
    <w:name w:val="正文-公1"/>
    <w:basedOn w:val="1"/>
    <w:autoRedefine/>
    <w:qFormat/>
    <w:uiPriority w:val="99"/>
    <w:pPr>
      <w:ind w:firstLine="200" w:firstLineChars="200"/>
    </w:pPr>
    <w:rPr>
      <w:color w:val="000000"/>
    </w:rPr>
  </w:style>
  <w:style w:type="character" w:customStyle="1" w:styleId="27">
    <w:name w:val="font61"/>
    <w:basedOn w:val="14"/>
    <w:autoRedefine/>
    <w:qFormat/>
    <w:uiPriority w:val="0"/>
    <w:rPr>
      <w:rFonts w:hint="eastAsia" w:ascii="宋体" w:hAnsi="宋体" w:eastAsia="宋体" w:cs="宋体"/>
      <w:color w:val="000000"/>
      <w:sz w:val="22"/>
      <w:szCs w:val="22"/>
      <w:u w:val="none"/>
    </w:rPr>
  </w:style>
  <w:style w:type="character" w:customStyle="1" w:styleId="28">
    <w:name w:val="font41"/>
    <w:basedOn w:val="14"/>
    <w:autoRedefine/>
    <w:qFormat/>
    <w:uiPriority w:val="0"/>
    <w:rPr>
      <w:rFonts w:hint="default" w:ascii="Times New Roman" w:hAnsi="Times New Roman" w:cs="Times New Roman"/>
      <w:color w:val="000000"/>
      <w:sz w:val="24"/>
      <w:szCs w:val="24"/>
      <w:u w:val="none"/>
    </w:rPr>
  </w:style>
  <w:style w:type="character" w:customStyle="1" w:styleId="29">
    <w:name w:val="font51"/>
    <w:basedOn w:val="14"/>
    <w:autoRedefine/>
    <w:qFormat/>
    <w:uiPriority w:val="0"/>
    <w:rPr>
      <w:rFonts w:hint="eastAsia" w:ascii="宋体" w:hAnsi="宋体" w:eastAsia="宋体" w:cs="宋体"/>
      <w:color w:val="000000"/>
      <w:sz w:val="24"/>
      <w:szCs w:val="24"/>
      <w:u w:val="none"/>
    </w:rPr>
  </w:style>
  <w:style w:type="paragraph" w:customStyle="1" w:styleId="30">
    <w:name w:val="页眉1"/>
    <w:basedOn w:val="1"/>
    <w:autoRedefine/>
    <w:qFormat/>
    <w:uiPriority w:val="0"/>
    <w:pPr>
      <w:pBdr>
        <w:bottom w:val="single" w:color="000000" w:sz="6" w:space="1"/>
      </w:pBdr>
      <w:tabs>
        <w:tab w:val="center" w:pos="4153"/>
        <w:tab w:val="right" w:pos="8306"/>
      </w:tabs>
      <w:jc w:val="center"/>
    </w:pPr>
    <w:rPr>
      <w:rFonts w:ascii="Calibri" w:hAnsi="Calibri" w:eastAsia="宋体;SimSun" w:cs="Calibri"/>
      <w:sz w:val="18"/>
      <w:szCs w:val="18"/>
      <w:lang w:val="zh-CN"/>
    </w:rPr>
  </w:style>
  <w:style w:type="paragraph" w:customStyle="1" w:styleId="31">
    <w:name w:val="默认"/>
    <w:autoRedefine/>
    <w:qFormat/>
    <w:uiPriority w:val="0"/>
    <w:rPr>
      <w:rFonts w:ascii="Helvetica" w:hAnsi="Helvetica" w:eastAsia="Helvetica" w:cs="Helvetica"/>
      <w:color w:val="000000"/>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Pages>
  <Words>4231</Words>
  <Characters>4471</Characters>
  <Lines>46</Lines>
  <Paragraphs>12</Paragraphs>
  <TotalTime>20</TotalTime>
  <ScaleCrop>false</ScaleCrop>
  <LinksUpToDate>false</LinksUpToDate>
  <CharactersWithSpaces>4603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2024-05-14T08:11:00Z</dcterms:created>
  <dc:creator>夏 时贤</dc:creator>
  <cp:lastModifiedBy>晴天</cp:lastModifiedBy>
  <cp:lastPrinted>2024-06-04T09:41:00Z</cp:lastPrinted>
  <dcterms:modified xsi:type="dcterms:W3CDTF">2024-07-09T01:44:04Z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41AF0137E9D44D0D858EF6C16056B06C_13</vt:lpwstr>
  </property>
</Properties>
</file>