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3F8963">
      <w:pPr>
        <w:spacing w:line="560" w:lineRule="exact"/>
        <w:jc w:val="center"/>
        <w:rPr>
          <w:rFonts w:ascii="方正小标宋_GBK" w:eastAsia="方正小标宋_GBK"/>
          <w:sz w:val="44"/>
          <w:szCs w:val="44"/>
        </w:rPr>
      </w:pPr>
      <w:r>
        <w:rPr>
          <w:rFonts w:hint="eastAsia" w:ascii="方正小标宋_GBK" w:eastAsia="方正小标宋_GBK"/>
          <w:sz w:val="44"/>
          <w:szCs w:val="44"/>
        </w:rPr>
        <w:t>重庆市公安局高新技术产业开发区分局</w:t>
      </w:r>
    </w:p>
    <w:p w14:paraId="54A5D9B0">
      <w:pPr>
        <w:spacing w:line="560" w:lineRule="exact"/>
        <w:jc w:val="center"/>
      </w:pPr>
      <w:r>
        <w:rPr>
          <w:rFonts w:hint="eastAsia" w:ascii="方正小标宋_GBK" w:eastAsia="方正小标宋_GBK"/>
          <w:sz w:val="44"/>
          <w:szCs w:val="44"/>
        </w:rPr>
        <w:t>202</w:t>
      </w:r>
      <w:r>
        <w:rPr>
          <w:rFonts w:ascii="方正小标宋_GBK" w:eastAsia="方正小标宋_GBK"/>
          <w:sz w:val="44"/>
          <w:szCs w:val="44"/>
        </w:rPr>
        <w:t>2</w:t>
      </w:r>
      <w:r>
        <w:rPr>
          <w:rFonts w:hint="eastAsia" w:ascii="方正小标宋_GBK" w:eastAsia="方正小标宋_GBK"/>
          <w:sz w:val="44"/>
          <w:szCs w:val="44"/>
        </w:rPr>
        <w:t>年度部门决算情况说明</w:t>
      </w:r>
    </w:p>
    <w:p w14:paraId="3E25D67C">
      <w:pPr>
        <w:spacing w:line="560" w:lineRule="exact"/>
        <w:rPr>
          <w:rFonts w:ascii="方正仿宋_GBK" w:eastAsia="方正仿宋_GBK"/>
          <w:sz w:val="32"/>
          <w:szCs w:val="32"/>
        </w:rPr>
      </w:pPr>
    </w:p>
    <w:p w14:paraId="0F3D6979">
      <w:pPr>
        <w:spacing w:line="560" w:lineRule="exact"/>
        <w:ind w:firstLine="648"/>
        <w:rPr>
          <w:rFonts w:ascii="方正黑体_GBK" w:eastAsia="方正黑体_GBK"/>
          <w:sz w:val="32"/>
          <w:szCs w:val="32"/>
        </w:rPr>
      </w:pPr>
      <w:r>
        <w:rPr>
          <w:rFonts w:hint="eastAsia" w:ascii="方正黑体_GBK" w:eastAsia="方正黑体_GBK"/>
          <w:bCs/>
          <w:sz w:val="32"/>
          <w:szCs w:val="32"/>
        </w:rPr>
        <w:t>一、部门基本情况</w:t>
      </w:r>
    </w:p>
    <w:p w14:paraId="1F42F629">
      <w:pPr>
        <w:spacing w:line="560" w:lineRule="exact"/>
        <w:ind w:firstLine="648"/>
        <w:rPr>
          <w:rFonts w:ascii="方正黑体_GBK" w:eastAsia="方正黑体_GBK"/>
          <w:sz w:val="32"/>
          <w:szCs w:val="32"/>
        </w:rPr>
      </w:pPr>
      <w:r>
        <w:rPr>
          <w:rFonts w:hint="eastAsia" w:ascii="方正楷体_GBK" w:eastAsia="方正楷体_GBK"/>
          <w:b/>
          <w:bCs/>
          <w:sz w:val="32"/>
          <w:szCs w:val="32"/>
        </w:rPr>
        <w:t>（一）职能职责</w:t>
      </w:r>
    </w:p>
    <w:p w14:paraId="26E4A254">
      <w:pPr>
        <w:spacing w:line="580" w:lineRule="exact"/>
        <w:ind w:firstLine="640" w:firstLineChars="200"/>
        <w:jc w:val="left"/>
        <w:rPr>
          <w:rFonts w:ascii="方正仿宋_GBK" w:hAnsi="Times New Roman" w:eastAsia="方正仿宋_GBK" w:cs="Times New Roman"/>
          <w:kern w:val="32"/>
          <w:sz w:val="32"/>
          <w:szCs w:val="32"/>
        </w:rPr>
      </w:pPr>
      <w:r>
        <w:rPr>
          <w:rFonts w:hint="eastAsia" w:ascii="方正仿宋_GBK" w:eastAsia="方正仿宋_GBK"/>
          <w:sz w:val="32"/>
          <w:szCs w:val="32"/>
        </w:rPr>
        <w:t>重庆市公安局高新技术产业开发区分局（简称重庆市公安局高新区分局）为重庆市公安局派出机构，是重庆高新区直管园公安工作的领导、指挥</w:t>
      </w:r>
      <w:r>
        <w:rPr>
          <w:rFonts w:ascii="方正仿宋_GBK" w:eastAsia="方正仿宋_GBK"/>
          <w:sz w:val="32"/>
          <w:szCs w:val="32"/>
        </w:rPr>
        <w:t>机关</w:t>
      </w:r>
      <w:r>
        <w:rPr>
          <w:rFonts w:hint="eastAsia" w:ascii="方正仿宋_GBK" w:eastAsia="方正仿宋_GBK"/>
          <w:sz w:val="32"/>
          <w:szCs w:val="32"/>
        </w:rPr>
        <w:t>，同时协调、配合市公安局相关警种和辖区公安机关，在高新区直管园之外的高新区其</w:t>
      </w:r>
      <w:bookmarkStart w:id="0" w:name="_GoBack"/>
      <w:bookmarkEnd w:id="0"/>
      <w:r>
        <w:rPr>
          <w:rFonts w:hint="eastAsia" w:ascii="方正仿宋_GBK" w:eastAsia="方正仿宋_GBK"/>
          <w:sz w:val="32"/>
          <w:szCs w:val="32"/>
        </w:rPr>
        <w:t>他区域开展各项警务活动，主要职责是:1.贯彻执行公安工作法律、法规、规章和方针政策，执行</w:t>
      </w:r>
      <w:r>
        <w:rPr>
          <w:rFonts w:ascii="方正仿宋_GBK" w:eastAsia="方正仿宋_GBK"/>
          <w:sz w:val="32"/>
          <w:szCs w:val="32"/>
        </w:rPr>
        <w:t>、</w:t>
      </w:r>
      <w:r>
        <w:rPr>
          <w:rFonts w:hint="eastAsia" w:ascii="方正仿宋_GBK" w:eastAsia="方正仿宋_GBK"/>
          <w:sz w:val="32"/>
          <w:szCs w:val="32"/>
        </w:rPr>
        <w:t>落实市公安局的工作部署；2.研究</w:t>
      </w:r>
      <w:r>
        <w:rPr>
          <w:rFonts w:ascii="方正仿宋_GBK" w:eastAsia="方正仿宋_GBK"/>
          <w:sz w:val="32"/>
          <w:szCs w:val="32"/>
        </w:rPr>
        <w:t>公安工作中</w:t>
      </w:r>
      <w:r>
        <w:rPr>
          <w:rFonts w:hint="eastAsia" w:ascii="方正仿宋_GBK" w:eastAsia="方正仿宋_GBK"/>
          <w:sz w:val="32"/>
          <w:szCs w:val="32"/>
        </w:rPr>
        <w:t>出现的</w:t>
      </w:r>
      <w:r>
        <w:rPr>
          <w:rFonts w:ascii="方正仿宋_GBK" w:eastAsia="方正仿宋_GBK"/>
          <w:sz w:val="32"/>
          <w:szCs w:val="32"/>
        </w:rPr>
        <w:t>新情况、新问题，掌握影响辖区稳定、危害国内安全和社会治安的信息，分析研判敌情、社情，为高新区党工委、管委会和市公安局提供信息并提出对策；</w:t>
      </w:r>
      <w:r>
        <w:rPr>
          <w:rFonts w:hint="eastAsia" w:ascii="方正仿宋_GBK" w:eastAsia="方正仿宋_GBK"/>
          <w:sz w:val="32"/>
          <w:szCs w:val="32"/>
        </w:rPr>
        <w:t>3.组织实施</w:t>
      </w:r>
      <w:r>
        <w:rPr>
          <w:rFonts w:ascii="方正仿宋_GBK" w:eastAsia="方正仿宋_GBK"/>
          <w:sz w:val="32"/>
          <w:szCs w:val="32"/>
        </w:rPr>
        <w:t>本辖区刑事犯罪案件的侦办工作，侦办本辖区食品药品、知识产权、生态环境、森林草原、生物安全</w:t>
      </w:r>
      <w:r>
        <w:rPr>
          <w:rFonts w:hint="eastAsia" w:ascii="方正仿宋_GBK" w:eastAsia="方正仿宋_GBK"/>
          <w:sz w:val="32"/>
          <w:szCs w:val="32"/>
        </w:rPr>
        <w:t>等</w:t>
      </w:r>
      <w:r>
        <w:rPr>
          <w:rFonts w:ascii="方正仿宋_GBK" w:eastAsia="方正仿宋_GBK"/>
          <w:sz w:val="32"/>
          <w:szCs w:val="32"/>
        </w:rPr>
        <w:t>领域</w:t>
      </w:r>
      <w:r>
        <w:rPr>
          <w:rFonts w:hint="eastAsia" w:ascii="方正仿宋_GBK" w:eastAsia="方正仿宋_GBK"/>
          <w:sz w:val="32"/>
          <w:szCs w:val="32"/>
        </w:rPr>
        <w:t>犯罪</w:t>
      </w:r>
      <w:r>
        <w:rPr>
          <w:rFonts w:ascii="方正仿宋_GBK" w:eastAsia="方正仿宋_GBK"/>
          <w:sz w:val="32"/>
          <w:szCs w:val="32"/>
        </w:rPr>
        <w:t>案件；</w:t>
      </w:r>
      <w:r>
        <w:rPr>
          <w:rFonts w:hint="eastAsia" w:ascii="方正仿宋_GBK" w:eastAsia="方正仿宋_GBK"/>
          <w:sz w:val="32"/>
          <w:szCs w:val="32"/>
        </w:rPr>
        <w:t>4.负责</w:t>
      </w:r>
      <w:r>
        <w:rPr>
          <w:rFonts w:ascii="方正仿宋_GBK" w:eastAsia="方正仿宋_GBK"/>
          <w:sz w:val="32"/>
          <w:szCs w:val="32"/>
        </w:rPr>
        <w:t>本辖区治安管理工作</w:t>
      </w:r>
      <w:r>
        <w:rPr>
          <w:rFonts w:hint="eastAsia" w:ascii="方正仿宋_GBK" w:eastAsia="方正仿宋_GBK"/>
          <w:sz w:val="32"/>
          <w:szCs w:val="32"/>
        </w:rPr>
        <w:t>，依法查处</w:t>
      </w:r>
      <w:r>
        <w:rPr>
          <w:rFonts w:ascii="方正仿宋_GBK" w:eastAsia="方正仿宋_GBK"/>
          <w:sz w:val="32"/>
          <w:szCs w:val="32"/>
        </w:rPr>
        <w:t>破坏社会治安秩序的行为，处置危害社会安</w:t>
      </w:r>
      <w:r>
        <w:rPr>
          <w:rFonts w:hint="eastAsia" w:ascii="方正仿宋_GBK" w:eastAsia="方正仿宋_GBK"/>
          <w:sz w:val="32"/>
          <w:szCs w:val="32"/>
        </w:rPr>
        <w:t>定的</w:t>
      </w:r>
      <w:r>
        <w:rPr>
          <w:rFonts w:ascii="方正仿宋_GBK" w:eastAsia="方正仿宋_GBK"/>
          <w:sz w:val="32"/>
          <w:szCs w:val="32"/>
        </w:rPr>
        <w:t>突发性</w:t>
      </w:r>
      <w:r>
        <w:rPr>
          <w:rFonts w:hint="eastAsia" w:ascii="方正仿宋_GBK" w:eastAsia="方正仿宋_GBK"/>
          <w:sz w:val="32"/>
          <w:szCs w:val="32"/>
        </w:rPr>
        <w:t>案</w:t>
      </w:r>
      <w:r>
        <w:rPr>
          <w:rFonts w:ascii="方正仿宋_GBK" w:eastAsia="方正仿宋_GBK"/>
          <w:sz w:val="32"/>
          <w:szCs w:val="32"/>
        </w:rPr>
        <w:t>（</w:t>
      </w:r>
      <w:r>
        <w:rPr>
          <w:rFonts w:hint="eastAsia" w:ascii="方正仿宋_GBK" w:eastAsia="方正仿宋_GBK"/>
          <w:sz w:val="32"/>
          <w:szCs w:val="32"/>
        </w:rPr>
        <w:t>事</w:t>
      </w:r>
      <w:r>
        <w:rPr>
          <w:rFonts w:ascii="方正仿宋_GBK" w:eastAsia="方正仿宋_GBK"/>
          <w:sz w:val="32"/>
          <w:szCs w:val="32"/>
        </w:rPr>
        <w:t>）</w:t>
      </w:r>
      <w:r>
        <w:rPr>
          <w:rFonts w:hint="eastAsia" w:ascii="方正仿宋_GBK" w:eastAsia="方正仿宋_GBK"/>
          <w:sz w:val="32"/>
          <w:szCs w:val="32"/>
        </w:rPr>
        <w:t>件</w:t>
      </w:r>
      <w:r>
        <w:rPr>
          <w:rFonts w:ascii="方正仿宋_GBK" w:eastAsia="方正仿宋_GBK"/>
          <w:sz w:val="32"/>
          <w:szCs w:val="32"/>
        </w:rPr>
        <w:t>、聚众闹事、骚乱</w:t>
      </w:r>
      <w:r>
        <w:rPr>
          <w:rFonts w:hint="eastAsia" w:ascii="方正仿宋_GBK" w:eastAsia="方正仿宋_GBK"/>
          <w:sz w:val="32"/>
          <w:szCs w:val="32"/>
        </w:rPr>
        <w:t>事件和</w:t>
      </w:r>
      <w:r>
        <w:rPr>
          <w:rFonts w:ascii="方正仿宋_GBK" w:eastAsia="方正仿宋_GBK"/>
          <w:sz w:val="32"/>
          <w:szCs w:val="32"/>
        </w:rPr>
        <w:t>灾害事故，依法开展治安</w:t>
      </w:r>
      <w:r>
        <w:rPr>
          <w:rFonts w:hint="eastAsia" w:ascii="方正仿宋_GBK" w:eastAsia="方正仿宋_GBK"/>
          <w:sz w:val="32"/>
          <w:szCs w:val="32"/>
        </w:rPr>
        <w:t>行政</w:t>
      </w:r>
      <w:r>
        <w:rPr>
          <w:rFonts w:ascii="方正仿宋_GBK" w:eastAsia="方正仿宋_GBK"/>
          <w:sz w:val="32"/>
          <w:szCs w:val="32"/>
        </w:rPr>
        <w:t>管理、防火和危险化学品管理、治安保卫工作；</w:t>
      </w:r>
      <w:r>
        <w:rPr>
          <w:rFonts w:hint="eastAsia" w:ascii="方正仿宋_GBK" w:eastAsia="方正仿宋_GBK"/>
          <w:sz w:val="32"/>
          <w:szCs w:val="32"/>
        </w:rPr>
        <w:t>5.</w:t>
      </w:r>
      <w:r>
        <w:rPr>
          <w:rFonts w:hint="eastAsia" w:ascii="方正仿宋_GBK" w:hAnsi="Times New Roman" w:eastAsia="方正仿宋_GBK" w:cs="Times New Roman"/>
          <w:kern w:val="32"/>
          <w:sz w:val="32"/>
          <w:szCs w:val="32"/>
        </w:rPr>
        <w:t>负责本辖区道路交通安全管理工作，依法维护道路交通安全、道路交通秩序以及开展机动车辆（不含拖拉机）、驾驶人管理工作；6.组织实施对公共信息网络的安全保护工作；7.收集本辖区邪教组织影响社会稳定、危害社会治安的情况并进行分析研判，依法打击邪教组织的违法犯罪活动；8.组织开展对恐怖活动的防范、侦察和打击工作；9</w:t>
      </w:r>
      <w:r>
        <w:rPr>
          <w:rFonts w:ascii="方正仿宋_GBK" w:hAnsi="Times New Roman" w:eastAsia="方正仿宋_GBK" w:cs="Times New Roman"/>
          <w:kern w:val="32"/>
          <w:sz w:val="32"/>
          <w:szCs w:val="32"/>
        </w:rPr>
        <w:t>.</w:t>
      </w:r>
      <w:r>
        <w:rPr>
          <w:rFonts w:hint="eastAsia" w:ascii="方正仿宋_GBK" w:hAnsi="Times New Roman" w:eastAsia="方正仿宋_GBK" w:cs="Times New Roman"/>
          <w:kern w:val="32"/>
          <w:sz w:val="32"/>
          <w:szCs w:val="32"/>
        </w:rPr>
        <w:t>组织开展禁毒工作；1</w:t>
      </w:r>
      <w:r>
        <w:rPr>
          <w:rFonts w:ascii="方正仿宋_GBK" w:hAnsi="Times New Roman" w:eastAsia="方正仿宋_GBK" w:cs="Times New Roman"/>
          <w:kern w:val="32"/>
          <w:sz w:val="32"/>
          <w:szCs w:val="32"/>
        </w:rPr>
        <w:t>0.</w:t>
      </w:r>
      <w:r>
        <w:rPr>
          <w:rFonts w:hint="eastAsia" w:ascii="方正仿宋_GBK" w:hAnsi="Times New Roman" w:eastAsia="方正仿宋_GBK" w:cs="Times New Roman"/>
          <w:kern w:val="32"/>
          <w:sz w:val="32"/>
          <w:szCs w:val="32"/>
        </w:rPr>
        <w:t>协助开展重要内外宾及其他警卫目标的安全警卫工作；11.组织实施本辖区大数据建设应用发展管理和公安科技工作，开展计算机安全监察工作，参与公安信息技术、刑事技术、公共信息网络安全监察技术等公安技术建设；1</w:t>
      </w:r>
      <w:r>
        <w:rPr>
          <w:rFonts w:ascii="方正仿宋_GBK" w:hAnsi="Times New Roman" w:eastAsia="方正仿宋_GBK" w:cs="Times New Roman"/>
          <w:kern w:val="32"/>
          <w:sz w:val="32"/>
          <w:szCs w:val="32"/>
        </w:rPr>
        <w:t>2.</w:t>
      </w:r>
      <w:r>
        <w:rPr>
          <w:rFonts w:hint="eastAsia" w:ascii="方正仿宋_GBK" w:hAnsi="Times New Roman" w:eastAsia="方正仿宋_GBK" w:cs="Times New Roman"/>
          <w:kern w:val="32"/>
          <w:sz w:val="32"/>
          <w:szCs w:val="32"/>
        </w:rPr>
        <w:t>贯彻执行公安部、市公安局警务被装配备标准、制度，拟订装备和经费标准；13.贯彻执行公安队伍建设的方针、政策，按规定权限管理干部，组织开展督察工作，按规定权限实施对干部的监督、查处违纪案件，组织实施思想政治建设和工作作风建设；14.组织开展公民出境、入境和外国人在本地居留、旅行的有关工作；1</w:t>
      </w:r>
      <w:r>
        <w:rPr>
          <w:rFonts w:ascii="方正仿宋_GBK" w:hAnsi="Times New Roman" w:eastAsia="方正仿宋_GBK" w:cs="Times New Roman"/>
          <w:kern w:val="32"/>
          <w:sz w:val="32"/>
          <w:szCs w:val="32"/>
        </w:rPr>
        <w:t>5.</w:t>
      </w:r>
      <w:r>
        <w:rPr>
          <w:rFonts w:hint="eastAsia" w:ascii="方正仿宋_GBK" w:hAnsi="Times New Roman" w:eastAsia="方正仿宋_GBK" w:cs="Times New Roman"/>
          <w:kern w:val="32"/>
          <w:sz w:val="32"/>
          <w:szCs w:val="32"/>
        </w:rPr>
        <w:t>完成市公安局交办的其他任务。</w:t>
      </w:r>
    </w:p>
    <w:p w14:paraId="6A2D4982">
      <w:pPr>
        <w:spacing w:line="560" w:lineRule="exact"/>
        <w:ind w:firstLine="648"/>
        <w:rPr>
          <w:rFonts w:ascii="方正楷体_GBK" w:eastAsia="方正楷体_GBK"/>
          <w:sz w:val="32"/>
          <w:szCs w:val="32"/>
        </w:rPr>
      </w:pPr>
      <w:r>
        <w:rPr>
          <w:rFonts w:hint="eastAsia" w:ascii="方正楷体_GBK" w:eastAsia="方正楷体_GBK"/>
          <w:b/>
          <w:bCs/>
          <w:sz w:val="32"/>
          <w:szCs w:val="32"/>
        </w:rPr>
        <w:t>（二）机构设置</w:t>
      </w:r>
    </w:p>
    <w:p w14:paraId="43AA3151">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重庆市公安局高新区分局下设17个内设机构，包括警令处、政治处、警务保障处、纪律检查室、督察审计支队、科技信息化和网络安全管理支队、情报指挥中心、政治安全保卫和反恐怖工作支队、经济犯罪侦查支队、治安管理支队、刑事侦查支队、出入境管理支队、交通巡逻警察支队、法制支队、特警支队、食品药品和生态环境犯罪侦查支队、执法办案管理中心；设12个派出机构，包括金凤派出所、含谷派出所、白市驿派出所、白市驿机场治安派出所、巴福派出所、石板派出所、走马派出所、微电子园治安派出所、西永派出所、香炉山派出所、虎溪派出所、曾家派出所。</w:t>
      </w:r>
    </w:p>
    <w:p w14:paraId="151D7DBF">
      <w:pPr>
        <w:spacing w:line="560" w:lineRule="exact"/>
        <w:ind w:firstLine="643" w:firstLineChars="200"/>
        <w:rPr>
          <w:rFonts w:ascii="方正楷体_GBK" w:eastAsia="方正楷体_GBK"/>
          <w:sz w:val="32"/>
          <w:szCs w:val="32"/>
        </w:rPr>
      </w:pPr>
      <w:r>
        <w:rPr>
          <w:rFonts w:hint="eastAsia" w:ascii="方正楷体_GBK" w:eastAsia="方正楷体_GBK"/>
          <w:b/>
          <w:bCs/>
          <w:sz w:val="32"/>
          <w:szCs w:val="32"/>
        </w:rPr>
        <w:t>（三）单位构成</w:t>
      </w:r>
    </w:p>
    <w:p w14:paraId="7F7A848E">
      <w:pPr>
        <w:spacing w:line="560" w:lineRule="exact"/>
        <w:rPr>
          <w:rFonts w:ascii="方正仿宋_GBK" w:eastAsia="方正仿宋_GBK"/>
          <w:sz w:val="32"/>
          <w:szCs w:val="32"/>
        </w:rPr>
      </w:pPr>
      <w:r>
        <w:rPr>
          <w:rFonts w:hint="eastAsia" w:ascii="方正仿宋_GBK" w:eastAsia="方正仿宋_GBK"/>
          <w:b/>
          <w:bCs/>
          <w:sz w:val="32"/>
          <w:szCs w:val="32"/>
        </w:rPr>
        <w:t xml:space="preserve">     </w:t>
      </w:r>
      <w:r>
        <w:rPr>
          <w:rFonts w:hint="eastAsia" w:ascii="方正仿宋_GBK" w:eastAsia="方正仿宋_GBK"/>
          <w:sz w:val="32"/>
          <w:szCs w:val="32"/>
        </w:rPr>
        <w:t>从预算单位构成看，无纳入本部门202</w:t>
      </w:r>
      <w:r>
        <w:rPr>
          <w:rFonts w:ascii="方正仿宋_GBK" w:eastAsia="方正仿宋_GBK"/>
          <w:sz w:val="32"/>
          <w:szCs w:val="32"/>
        </w:rPr>
        <w:t>2</w:t>
      </w:r>
      <w:r>
        <w:rPr>
          <w:rFonts w:hint="eastAsia" w:ascii="方正仿宋_GBK" w:eastAsia="方正仿宋_GBK"/>
          <w:sz w:val="32"/>
          <w:szCs w:val="32"/>
        </w:rPr>
        <w:t>年度决算编制的二级预算单位。</w:t>
      </w:r>
    </w:p>
    <w:p w14:paraId="2A4393F4">
      <w:pPr>
        <w:spacing w:line="560" w:lineRule="exact"/>
        <w:ind w:firstLine="640" w:firstLineChars="200"/>
        <w:rPr>
          <w:rFonts w:ascii="方正仿宋_GBK" w:eastAsia="方正仿宋_GBK"/>
          <w:sz w:val="32"/>
          <w:szCs w:val="32"/>
        </w:rPr>
      </w:pPr>
      <w:r>
        <w:rPr>
          <w:rFonts w:hint="eastAsia" w:ascii="方正黑体_GBK" w:eastAsia="方正黑体_GBK"/>
          <w:bCs/>
          <w:sz w:val="32"/>
          <w:szCs w:val="32"/>
        </w:rPr>
        <w:t>二、部门决算情况说明</w:t>
      </w:r>
    </w:p>
    <w:p w14:paraId="3FACEA66">
      <w:pPr>
        <w:spacing w:line="560" w:lineRule="exact"/>
        <w:ind w:firstLine="643" w:firstLineChars="200"/>
        <w:rPr>
          <w:rFonts w:ascii="方正楷体_GBK" w:eastAsia="方正楷体_GBK"/>
          <w:sz w:val="32"/>
          <w:szCs w:val="32"/>
        </w:rPr>
      </w:pPr>
      <w:r>
        <w:rPr>
          <w:rFonts w:hint="eastAsia" w:ascii="方正楷体_GBK" w:eastAsia="方正楷体_GBK"/>
          <w:b/>
          <w:bCs/>
          <w:sz w:val="32"/>
          <w:szCs w:val="32"/>
        </w:rPr>
        <w:t>（一）收入支出决算总体情况说明</w:t>
      </w:r>
    </w:p>
    <w:p w14:paraId="79250923">
      <w:pPr>
        <w:spacing w:line="560" w:lineRule="exact"/>
        <w:ind w:firstLine="643" w:firstLineChars="200"/>
        <w:rPr>
          <w:rFonts w:ascii="方正仿宋_GBK" w:eastAsia="方正仿宋_GBK"/>
          <w:sz w:val="32"/>
          <w:szCs w:val="32"/>
        </w:rPr>
      </w:pPr>
      <w:r>
        <w:rPr>
          <w:rFonts w:hint="eastAsia" w:ascii="方正仿宋_GBK" w:eastAsia="方正仿宋_GBK"/>
          <w:b/>
          <w:bCs/>
          <w:sz w:val="32"/>
          <w:szCs w:val="32"/>
        </w:rPr>
        <w:t>1.总体情况</w:t>
      </w:r>
      <w:r>
        <w:rPr>
          <w:rFonts w:hint="eastAsia" w:ascii="方正仿宋_GBK" w:eastAsia="方正仿宋_GBK"/>
          <w:sz w:val="32"/>
          <w:szCs w:val="32"/>
        </w:rPr>
        <w:t>。2022年度收入总计50,136.84万元，支出总计50,136.84万元。收支较上年决算数减少5,215.73万元,下降9.4%，主要原因是严格落实</w:t>
      </w:r>
      <w:r>
        <w:rPr>
          <w:rFonts w:ascii="方正仿宋_GBK" w:eastAsia="方正仿宋_GBK"/>
          <w:sz w:val="32"/>
          <w:szCs w:val="32"/>
        </w:rPr>
        <w:t>政府</w:t>
      </w:r>
      <w:r>
        <w:rPr>
          <w:rFonts w:hint="eastAsia" w:ascii="方正仿宋_GBK" w:eastAsia="方正仿宋_GBK"/>
          <w:sz w:val="32"/>
          <w:szCs w:val="32"/>
        </w:rPr>
        <w:t>“</w:t>
      </w:r>
      <w:r>
        <w:rPr>
          <w:rFonts w:ascii="方正仿宋_GBK" w:eastAsia="方正仿宋_GBK"/>
          <w:sz w:val="32"/>
          <w:szCs w:val="32"/>
        </w:rPr>
        <w:t>过紧日子</w:t>
      </w:r>
      <w:r>
        <w:rPr>
          <w:rFonts w:hint="eastAsia" w:ascii="方正仿宋_GBK" w:eastAsia="方正仿宋_GBK"/>
          <w:sz w:val="32"/>
          <w:szCs w:val="32"/>
        </w:rPr>
        <w:t>”</w:t>
      </w:r>
      <w:r>
        <w:rPr>
          <w:rFonts w:ascii="方正仿宋_GBK" w:eastAsia="方正仿宋_GBK"/>
          <w:sz w:val="32"/>
          <w:szCs w:val="32"/>
        </w:rPr>
        <w:t>政策</w:t>
      </w:r>
      <w:r>
        <w:rPr>
          <w:rFonts w:hint="eastAsia" w:ascii="方正仿宋_GBK" w:eastAsia="方正仿宋_GBK"/>
          <w:sz w:val="32"/>
          <w:szCs w:val="32"/>
        </w:rPr>
        <w:t>，</w:t>
      </w:r>
      <w:r>
        <w:rPr>
          <w:rFonts w:ascii="方正仿宋_GBK" w:eastAsia="方正仿宋_GBK"/>
          <w:sz w:val="32"/>
          <w:szCs w:val="32"/>
        </w:rPr>
        <w:t>压缩支出</w:t>
      </w:r>
      <w:r>
        <w:rPr>
          <w:rFonts w:hint="eastAsia" w:ascii="方正仿宋_GBK" w:eastAsia="方正仿宋_GBK"/>
          <w:sz w:val="32"/>
          <w:szCs w:val="32"/>
        </w:rPr>
        <w:t>。</w:t>
      </w:r>
    </w:p>
    <w:p w14:paraId="577F9D44">
      <w:pPr>
        <w:spacing w:line="560" w:lineRule="exact"/>
        <w:ind w:firstLine="643" w:firstLineChars="200"/>
        <w:rPr>
          <w:rFonts w:ascii="方正仿宋_GBK" w:eastAsia="方正仿宋_GBK"/>
          <w:sz w:val="32"/>
          <w:szCs w:val="32"/>
        </w:rPr>
      </w:pPr>
      <w:r>
        <w:rPr>
          <w:rFonts w:hint="eastAsia" w:ascii="方正仿宋_GBK" w:eastAsia="方正仿宋_GBK"/>
          <w:b/>
          <w:bCs/>
          <w:sz w:val="32"/>
          <w:szCs w:val="32"/>
        </w:rPr>
        <w:t>2.收入情况。</w:t>
      </w:r>
      <w:r>
        <w:rPr>
          <w:rFonts w:hint="eastAsia" w:ascii="方正仿宋_GBK" w:eastAsia="方正仿宋_GBK"/>
          <w:sz w:val="32"/>
          <w:szCs w:val="32"/>
        </w:rPr>
        <w:t>2022年度收入合计50,136.84万元，较上年决算数减少5,215.73万元，下降9.4%，主要原因是严格落实</w:t>
      </w:r>
      <w:r>
        <w:rPr>
          <w:rFonts w:ascii="方正仿宋_GBK" w:eastAsia="方正仿宋_GBK"/>
          <w:sz w:val="32"/>
          <w:szCs w:val="32"/>
        </w:rPr>
        <w:t>政府</w:t>
      </w:r>
      <w:r>
        <w:rPr>
          <w:rFonts w:hint="eastAsia" w:ascii="方正仿宋_GBK" w:eastAsia="方正仿宋_GBK"/>
          <w:sz w:val="32"/>
          <w:szCs w:val="32"/>
        </w:rPr>
        <w:t>“</w:t>
      </w:r>
      <w:r>
        <w:rPr>
          <w:rFonts w:ascii="方正仿宋_GBK" w:eastAsia="方正仿宋_GBK"/>
          <w:sz w:val="32"/>
          <w:szCs w:val="32"/>
        </w:rPr>
        <w:t>过紧日子</w:t>
      </w:r>
      <w:r>
        <w:rPr>
          <w:rFonts w:hint="eastAsia" w:ascii="方正仿宋_GBK" w:eastAsia="方正仿宋_GBK"/>
          <w:sz w:val="32"/>
          <w:szCs w:val="32"/>
        </w:rPr>
        <w:t>”</w:t>
      </w:r>
      <w:r>
        <w:rPr>
          <w:rFonts w:ascii="方正仿宋_GBK" w:eastAsia="方正仿宋_GBK"/>
          <w:sz w:val="32"/>
          <w:szCs w:val="32"/>
        </w:rPr>
        <w:t>政策</w:t>
      </w:r>
      <w:r>
        <w:rPr>
          <w:rFonts w:hint="eastAsia" w:ascii="方正仿宋_GBK" w:eastAsia="方正仿宋_GBK"/>
          <w:sz w:val="32"/>
          <w:szCs w:val="32"/>
        </w:rPr>
        <w:t>，</w:t>
      </w:r>
      <w:r>
        <w:rPr>
          <w:rFonts w:ascii="方正仿宋_GBK" w:eastAsia="方正仿宋_GBK"/>
          <w:sz w:val="32"/>
          <w:szCs w:val="32"/>
        </w:rPr>
        <w:t>压缩支出</w:t>
      </w:r>
      <w:r>
        <w:rPr>
          <w:rFonts w:hint="eastAsia" w:ascii="方正仿宋_GBK" w:eastAsia="方正仿宋_GBK"/>
          <w:sz w:val="32"/>
          <w:szCs w:val="32"/>
        </w:rPr>
        <w:t>。其中：财政拨款收入50,136.84万元，占100%。</w:t>
      </w:r>
    </w:p>
    <w:p w14:paraId="77E60FE0">
      <w:pPr>
        <w:spacing w:line="560" w:lineRule="exact"/>
        <w:ind w:firstLine="643" w:firstLineChars="200"/>
        <w:rPr>
          <w:rFonts w:ascii="方正仿宋_GBK" w:eastAsia="方正仿宋_GBK"/>
          <w:sz w:val="32"/>
          <w:szCs w:val="32"/>
        </w:rPr>
      </w:pPr>
      <w:r>
        <w:rPr>
          <w:rFonts w:hint="eastAsia" w:ascii="方正仿宋_GBK" w:eastAsia="方正仿宋_GBK"/>
          <w:b/>
          <w:bCs/>
          <w:sz w:val="32"/>
          <w:szCs w:val="32"/>
        </w:rPr>
        <w:t>3.支出情况。</w:t>
      </w:r>
      <w:r>
        <w:rPr>
          <w:rFonts w:hint="eastAsia" w:ascii="方正仿宋_GBK" w:eastAsia="方正仿宋_GBK"/>
          <w:sz w:val="32"/>
          <w:szCs w:val="32"/>
        </w:rPr>
        <w:t>2022年度支出合计50,136.84万元，较上年决算减少5,215.73万元，下降9.4%，主要原因是严格落实</w:t>
      </w:r>
      <w:r>
        <w:rPr>
          <w:rFonts w:ascii="方正仿宋_GBK" w:eastAsia="方正仿宋_GBK"/>
          <w:sz w:val="32"/>
          <w:szCs w:val="32"/>
        </w:rPr>
        <w:t>政府</w:t>
      </w:r>
      <w:r>
        <w:rPr>
          <w:rFonts w:hint="eastAsia" w:ascii="方正仿宋_GBK" w:eastAsia="方正仿宋_GBK"/>
          <w:sz w:val="32"/>
          <w:szCs w:val="32"/>
        </w:rPr>
        <w:t>“</w:t>
      </w:r>
      <w:r>
        <w:rPr>
          <w:rFonts w:ascii="方正仿宋_GBK" w:eastAsia="方正仿宋_GBK"/>
          <w:sz w:val="32"/>
          <w:szCs w:val="32"/>
        </w:rPr>
        <w:t>过紧日子</w:t>
      </w:r>
      <w:r>
        <w:rPr>
          <w:rFonts w:hint="eastAsia" w:ascii="方正仿宋_GBK" w:eastAsia="方正仿宋_GBK"/>
          <w:sz w:val="32"/>
          <w:szCs w:val="32"/>
        </w:rPr>
        <w:t>”</w:t>
      </w:r>
      <w:r>
        <w:rPr>
          <w:rFonts w:ascii="方正仿宋_GBK" w:eastAsia="方正仿宋_GBK"/>
          <w:sz w:val="32"/>
          <w:szCs w:val="32"/>
        </w:rPr>
        <w:t>政策</w:t>
      </w:r>
      <w:r>
        <w:rPr>
          <w:rFonts w:hint="eastAsia" w:ascii="方正仿宋_GBK" w:eastAsia="方正仿宋_GBK"/>
          <w:sz w:val="32"/>
          <w:szCs w:val="32"/>
        </w:rPr>
        <w:t>，</w:t>
      </w:r>
      <w:r>
        <w:rPr>
          <w:rFonts w:ascii="方正仿宋_GBK" w:eastAsia="方正仿宋_GBK"/>
          <w:sz w:val="32"/>
          <w:szCs w:val="32"/>
        </w:rPr>
        <w:t>压缩支出</w:t>
      </w:r>
      <w:r>
        <w:rPr>
          <w:rFonts w:hint="eastAsia" w:ascii="方正仿宋_GBK" w:eastAsia="方正仿宋_GBK"/>
          <w:sz w:val="32"/>
          <w:szCs w:val="32"/>
        </w:rPr>
        <w:t>。其中：基本支出32,114.77万元，占64.1%；项目支出18,022.07万元，占35.9%。</w:t>
      </w:r>
    </w:p>
    <w:p w14:paraId="48717371">
      <w:pPr>
        <w:spacing w:line="560" w:lineRule="exact"/>
        <w:ind w:firstLine="643" w:firstLineChars="200"/>
        <w:rPr>
          <w:rFonts w:ascii="方正仿宋_GBK" w:eastAsia="方正仿宋_GBK"/>
          <w:b/>
          <w:bCs/>
          <w:sz w:val="32"/>
          <w:szCs w:val="32"/>
        </w:rPr>
      </w:pPr>
      <w:r>
        <w:rPr>
          <w:rFonts w:hint="eastAsia" w:ascii="方正仿宋_GBK" w:eastAsia="方正仿宋_GBK"/>
          <w:b/>
          <w:bCs/>
          <w:sz w:val="32"/>
          <w:szCs w:val="32"/>
        </w:rPr>
        <w:t>4.结转结余情况。</w:t>
      </w:r>
      <w:r>
        <w:rPr>
          <w:rFonts w:ascii="方正仿宋_GBK" w:eastAsia="方正仿宋_GBK"/>
          <w:sz w:val="32"/>
          <w:szCs w:val="32"/>
        </w:rPr>
        <w:t>2022年度年末结转和结余0万元，较上年决算数增加0万元，增长</w:t>
      </w:r>
      <w:r>
        <w:rPr>
          <w:rFonts w:hint="eastAsia" w:ascii="方正仿宋_GBK" w:eastAsia="方正仿宋_GBK"/>
          <w:sz w:val="32"/>
          <w:szCs w:val="32"/>
        </w:rPr>
        <w:t>0.</w:t>
      </w:r>
      <w:r>
        <w:rPr>
          <w:rFonts w:ascii="方正仿宋_GBK" w:eastAsia="方正仿宋_GBK"/>
          <w:sz w:val="32"/>
          <w:szCs w:val="32"/>
        </w:rPr>
        <w:t>0%</w:t>
      </w:r>
      <w:r>
        <w:rPr>
          <w:rFonts w:hint="eastAsia" w:ascii="方正仿宋_GBK" w:eastAsia="方正仿宋_GBK"/>
          <w:sz w:val="32"/>
          <w:szCs w:val="32"/>
        </w:rPr>
        <w:t>，</w:t>
      </w:r>
      <w:r>
        <w:rPr>
          <w:rFonts w:ascii="方正仿宋_GBK" w:eastAsia="方正仿宋_GBK"/>
          <w:sz w:val="32"/>
          <w:szCs w:val="32"/>
        </w:rPr>
        <w:t>主要原因是</w:t>
      </w:r>
      <w:r>
        <w:rPr>
          <w:rFonts w:hint="eastAsia" w:ascii="方正仿宋_GBK" w:eastAsia="方正仿宋_GBK"/>
          <w:sz w:val="32"/>
          <w:szCs w:val="32"/>
        </w:rPr>
        <w:t>严格</w:t>
      </w:r>
      <w:r>
        <w:rPr>
          <w:rFonts w:ascii="方正仿宋_GBK" w:eastAsia="方正仿宋_GBK"/>
          <w:sz w:val="32"/>
          <w:szCs w:val="32"/>
        </w:rPr>
        <w:t>执行</w:t>
      </w:r>
      <w:r>
        <w:rPr>
          <w:rFonts w:hint="eastAsia" w:ascii="方正仿宋_GBK" w:eastAsia="方正仿宋_GBK"/>
          <w:sz w:val="32"/>
          <w:szCs w:val="32"/>
        </w:rPr>
        <w:t>财政零</w:t>
      </w:r>
      <w:r>
        <w:rPr>
          <w:rFonts w:ascii="方正仿宋_GBK" w:eastAsia="方正仿宋_GBK"/>
          <w:sz w:val="32"/>
          <w:szCs w:val="32"/>
        </w:rPr>
        <w:t>结转</w:t>
      </w:r>
      <w:r>
        <w:rPr>
          <w:rFonts w:hint="eastAsia" w:ascii="方正仿宋_GBK" w:eastAsia="方正仿宋_GBK"/>
          <w:sz w:val="32"/>
          <w:szCs w:val="32"/>
        </w:rPr>
        <w:t>结余要求</w:t>
      </w:r>
      <w:r>
        <w:rPr>
          <w:rFonts w:ascii="方正仿宋_GBK" w:eastAsia="方正仿宋_GBK"/>
          <w:sz w:val="32"/>
          <w:szCs w:val="32"/>
        </w:rPr>
        <w:t>。</w:t>
      </w:r>
    </w:p>
    <w:p w14:paraId="43571FE0">
      <w:pPr>
        <w:spacing w:line="560" w:lineRule="exact"/>
        <w:ind w:firstLine="643" w:firstLineChars="200"/>
        <w:rPr>
          <w:rFonts w:ascii="方正楷体_GBK" w:eastAsia="方正楷体_GBK"/>
          <w:sz w:val="32"/>
          <w:szCs w:val="32"/>
        </w:rPr>
      </w:pPr>
      <w:r>
        <w:rPr>
          <w:rFonts w:hint="eastAsia" w:ascii="方正楷体_GBK" w:eastAsia="方正楷体_GBK"/>
          <w:b/>
          <w:bCs/>
          <w:sz w:val="32"/>
          <w:szCs w:val="32"/>
        </w:rPr>
        <w:t>（二）财政拨款收入支出决算总体情况说明</w:t>
      </w:r>
    </w:p>
    <w:p w14:paraId="78875BD5">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2022年度财政拨款收、支总计50,136.84万元。与2021年相比，财政拨款收、支总计各减少5,215.73万元，下降9.4%。主要原因是严格落实政府过紧日子政策，减少项目类支出。</w:t>
      </w:r>
    </w:p>
    <w:p w14:paraId="29417394">
      <w:pPr>
        <w:spacing w:line="560" w:lineRule="exact"/>
        <w:ind w:firstLine="643" w:firstLineChars="200"/>
        <w:rPr>
          <w:rFonts w:ascii="方正楷体_GBK" w:eastAsia="方正楷体_GBK"/>
          <w:sz w:val="32"/>
          <w:szCs w:val="32"/>
        </w:rPr>
      </w:pPr>
      <w:r>
        <w:rPr>
          <w:rFonts w:hint="eastAsia" w:ascii="方正楷体_GBK" w:eastAsia="方正楷体_GBK"/>
          <w:b/>
          <w:bCs/>
          <w:sz w:val="32"/>
          <w:szCs w:val="32"/>
        </w:rPr>
        <w:t>（三）一般公共预算财政拨款收入支出决算情况说明</w:t>
      </w:r>
    </w:p>
    <w:p w14:paraId="67FF64AC">
      <w:pPr>
        <w:spacing w:line="560" w:lineRule="exact"/>
        <w:ind w:firstLine="643" w:firstLineChars="200"/>
        <w:rPr>
          <w:rFonts w:ascii="方正仿宋_GBK" w:eastAsia="方正仿宋_GBK"/>
          <w:b/>
          <w:bCs/>
          <w:sz w:val="32"/>
          <w:szCs w:val="32"/>
        </w:rPr>
      </w:pPr>
      <w:r>
        <w:rPr>
          <w:rFonts w:hint="eastAsia" w:ascii="方正仿宋_GBK" w:eastAsia="方正仿宋_GBK"/>
          <w:b/>
          <w:bCs/>
          <w:sz w:val="32"/>
          <w:szCs w:val="32"/>
        </w:rPr>
        <w:t>1.收入情况。</w:t>
      </w:r>
      <w:r>
        <w:rPr>
          <w:rFonts w:hint="eastAsia" w:ascii="方正仿宋_GBK" w:eastAsia="方正仿宋_GBK"/>
          <w:sz w:val="32"/>
          <w:szCs w:val="32"/>
        </w:rPr>
        <w:t>2022年度一般公共预算财政拨款收入50,136.84万元，较上年决算数减少5,215.73万元，下降9.4%。主要原因是严格落实政府“过紧日子”政策和</w:t>
      </w:r>
      <w:r>
        <w:rPr>
          <w:rFonts w:ascii="方正仿宋_GBK" w:eastAsia="方正仿宋_GBK"/>
          <w:sz w:val="32"/>
          <w:szCs w:val="32"/>
        </w:rPr>
        <w:t>受疫情影响部分项目</w:t>
      </w:r>
      <w:r>
        <w:rPr>
          <w:rFonts w:hint="eastAsia" w:ascii="方正仿宋_GBK" w:eastAsia="方正仿宋_GBK"/>
          <w:sz w:val="32"/>
          <w:szCs w:val="32"/>
        </w:rPr>
        <w:t>建设进度</w:t>
      </w:r>
      <w:r>
        <w:rPr>
          <w:rFonts w:ascii="方正仿宋_GBK" w:eastAsia="方正仿宋_GBK"/>
          <w:sz w:val="32"/>
          <w:szCs w:val="32"/>
        </w:rPr>
        <w:t>推迟</w:t>
      </w:r>
      <w:r>
        <w:rPr>
          <w:rFonts w:hint="eastAsia" w:ascii="方正仿宋_GBK" w:eastAsia="方正仿宋_GBK"/>
          <w:sz w:val="32"/>
          <w:szCs w:val="32"/>
        </w:rPr>
        <w:t>，项目预算收入减少。较年初预算数减少7,008.41万元，下降12.3%。主要原因是严格落实政府“过紧日子”政策和</w:t>
      </w:r>
      <w:r>
        <w:rPr>
          <w:rFonts w:ascii="方正仿宋_GBK" w:eastAsia="方正仿宋_GBK"/>
          <w:sz w:val="32"/>
          <w:szCs w:val="32"/>
        </w:rPr>
        <w:t>受疫情影响部分项目</w:t>
      </w:r>
      <w:r>
        <w:rPr>
          <w:rFonts w:hint="eastAsia" w:ascii="方正仿宋_GBK" w:eastAsia="方正仿宋_GBK"/>
          <w:sz w:val="32"/>
          <w:szCs w:val="32"/>
        </w:rPr>
        <w:t>建设进度</w:t>
      </w:r>
      <w:r>
        <w:rPr>
          <w:rFonts w:ascii="方正仿宋_GBK" w:eastAsia="方正仿宋_GBK"/>
          <w:sz w:val="32"/>
          <w:szCs w:val="32"/>
        </w:rPr>
        <w:t>推迟</w:t>
      </w:r>
      <w:r>
        <w:rPr>
          <w:rFonts w:hint="eastAsia" w:ascii="方正仿宋_GBK" w:eastAsia="方正仿宋_GBK"/>
          <w:sz w:val="32"/>
          <w:szCs w:val="32"/>
        </w:rPr>
        <w:t>，项目预算收入减少。此外，年初财政拨款结转和结余0万元。</w:t>
      </w:r>
    </w:p>
    <w:p w14:paraId="3ADA2257">
      <w:pPr>
        <w:spacing w:line="560" w:lineRule="exact"/>
        <w:ind w:firstLine="643" w:firstLineChars="200"/>
        <w:rPr>
          <w:rFonts w:ascii="方正仿宋_GBK" w:eastAsia="方正仿宋_GBK"/>
          <w:sz w:val="32"/>
          <w:szCs w:val="32"/>
        </w:rPr>
      </w:pPr>
      <w:r>
        <w:rPr>
          <w:rFonts w:hint="eastAsia" w:ascii="方正仿宋_GBK" w:eastAsia="方正仿宋_GBK"/>
          <w:b/>
          <w:bCs/>
          <w:sz w:val="32"/>
          <w:szCs w:val="32"/>
        </w:rPr>
        <w:t>2.支出情况。</w:t>
      </w:r>
      <w:r>
        <w:rPr>
          <w:rFonts w:hint="eastAsia" w:ascii="方正仿宋_GBK" w:eastAsia="方正仿宋_GBK"/>
          <w:sz w:val="32"/>
          <w:szCs w:val="32"/>
        </w:rPr>
        <w:t>2022年度一般公共预算财政拨款支出50,136.84万元，较上年决算数减少5,215.73万元，下降9.4%。主要原因是严格落实政府“过紧日子”政策和</w:t>
      </w:r>
      <w:r>
        <w:rPr>
          <w:rFonts w:ascii="方正仿宋_GBK" w:eastAsia="方正仿宋_GBK"/>
          <w:sz w:val="32"/>
          <w:szCs w:val="32"/>
        </w:rPr>
        <w:t>受疫情影响部分项目</w:t>
      </w:r>
      <w:r>
        <w:rPr>
          <w:rFonts w:hint="eastAsia" w:ascii="方正仿宋_GBK" w:eastAsia="方正仿宋_GBK"/>
          <w:sz w:val="32"/>
          <w:szCs w:val="32"/>
        </w:rPr>
        <w:t>建设进度</w:t>
      </w:r>
      <w:r>
        <w:rPr>
          <w:rFonts w:ascii="方正仿宋_GBK" w:eastAsia="方正仿宋_GBK"/>
          <w:sz w:val="32"/>
          <w:szCs w:val="32"/>
        </w:rPr>
        <w:t>推迟</w:t>
      </w:r>
      <w:r>
        <w:rPr>
          <w:rFonts w:hint="eastAsia" w:ascii="方正仿宋_GBK" w:eastAsia="方正仿宋_GBK"/>
          <w:sz w:val="32"/>
          <w:szCs w:val="32"/>
        </w:rPr>
        <w:t>，项目预算收入减少。较年初预算数减少7,008.41万元，下降12.3%。主要原因是严格落实政府“过紧日子”政策和</w:t>
      </w:r>
      <w:r>
        <w:rPr>
          <w:rFonts w:ascii="方正仿宋_GBK" w:eastAsia="方正仿宋_GBK"/>
          <w:sz w:val="32"/>
          <w:szCs w:val="32"/>
        </w:rPr>
        <w:t>受疫情影响部分项目</w:t>
      </w:r>
      <w:r>
        <w:rPr>
          <w:rFonts w:hint="eastAsia" w:ascii="方正仿宋_GBK" w:eastAsia="方正仿宋_GBK"/>
          <w:sz w:val="32"/>
          <w:szCs w:val="32"/>
        </w:rPr>
        <w:t>建设进度</w:t>
      </w:r>
      <w:r>
        <w:rPr>
          <w:rFonts w:ascii="方正仿宋_GBK" w:eastAsia="方正仿宋_GBK"/>
          <w:sz w:val="32"/>
          <w:szCs w:val="32"/>
        </w:rPr>
        <w:t>推迟</w:t>
      </w:r>
      <w:r>
        <w:rPr>
          <w:rFonts w:hint="eastAsia" w:ascii="方正仿宋_GBK" w:eastAsia="方正仿宋_GBK"/>
          <w:sz w:val="32"/>
          <w:szCs w:val="32"/>
        </w:rPr>
        <w:t>，项目预算收入减少。</w:t>
      </w:r>
    </w:p>
    <w:p w14:paraId="20B96BFF">
      <w:pPr>
        <w:spacing w:line="560" w:lineRule="exact"/>
        <w:ind w:firstLine="643" w:firstLineChars="200"/>
        <w:rPr>
          <w:rFonts w:ascii="方正仿宋_GBK" w:eastAsia="方正仿宋_GBK"/>
          <w:sz w:val="32"/>
          <w:szCs w:val="32"/>
        </w:rPr>
      </w:pPr>
      <w:r>
        <w:rPr>
          <w:rFonts w:hint="eastAsia" w:ascii="方正仿宋_GBK" w:eastAsia="方正仿宋_GBK"/>
          <w:b/>
          <w:bCs/>
          <w:sz w:val="32"/>
          <w:szCs w:val="32"/>
        </w:rPr>
        <w:t>3.结转结余情况。</w:t>
      </w:r>
      <w:r>
        <w:rPr>
          <w:rFonts w:ascii="方正仿宋_GBK" w:eastAsia="方正仿宋_GBK"/>
          <w:sz w:val="32"/>
          <w:szCs w:val="32"/>
        </w:rPr>
        <w:t>2022年度年末一般公共预算财政拨款结转和结余0万元，较上年决算数增加0万元，增长</w:t>
      </w:r>
      <w:r>
        <w:rPr>
          <w:rFonts w:hint="eastAsia" w:ascii="方正仿宋_GBK" w:eastAsia="方正仿宋_GBK"/>
          <w:sz w:val="32"/>
          <w:szCs w:val="32"/>
        </w:rPr>
        <w:t>0</w:t>
      </w:r>
      <w:r>
        <w:rPr>
          <w:rFonts w:ascii="方正仿宋_GBK" w:eastAsia="方正仿宋_GBK"/>
          <w:sz w:val="32"/>
          <w:szCs w:val="32"/>
        </w:rPr>
        <w:t>.0%，主要原因是</w:t>
      </w:r>
      <w:r>
        <w:rPr>
          <w:rFonts w:hint="eastAsia" w:ascii="方正仿宋_GBK" w:eastAsia="方正仿宋_GBK"/>
          <w:sz w:val="32"/>
          <w:szCs w:val="32"/>
        </w:rPr>
        <w:t>严格</w:t>
      </w:r>
      <w:r>
        <w:rPr>
          <w:rFonts w:ascii="方正仿宋_GBK" w:eastAsia="方正仿宋_GBK"/>
          <w:sz w:val="32"/>
          <w:szCs w:val="32"/>
        </w:rPr>
        <w:t>执行</w:t>
      </w:r>
      <w:r>
        <w:rPr>
          <w:rFonts w:hint="eastAsia" w:ascii="方正仿宋_GBK" w:eastAsia="方正仿宋_GBK"/>
          <w:sz w:val="32"/>
          <w:szCs w:val="32"/>
        </w:rPr>
        <w:t>财政零</w:t>
      </w:r>
      <w:r>
        <w:rPr>
          <w:rFonts w:ascii="方正仿宋_GBK" w:eastAsia="方正仿宋_GBK"/>
          <w:sz w:val="32"/>
          <w:szCs w:val="32"/>
        </w:rPr>
        <w:t>结转</w:t>
      </w:r>
      <w:r>
        <w:rPr>
          <w:rFonts w:hint="eastAsia" w:ascii="方正仿宋_GBK" w:eastAsia="方正仿宋_GBK"/>
          <w:sz w:val="32"/>
          <w:szCs w:val="32"/>
        </w:rPr>
        <w:t>结余要求</w:t>
      </w:r>
      <w:r>
        <w:rPr>
          <w:rFonts w:ascii="方正仿宋_GBK" w:eastAsia="方正仿宋_GBK"/>
          <w:sz w:val="32"/>
          <w:szCs w:val="32"/>
        </w:rPr>
        <w:t>。</w:t>
      </w:r>
    </w:p>
    <w:p w14:paraId="48D8F40E">
      <w:pPr>
        <w:spacing w:line="560" w:lineRule="exact"/>
        <w:ind w:firstLine="643" w:firstLineChars="200"/>
        <w:rPr>
          <w:rFonts w:ascii="方正楷体_GBK" w:eastAsia="方正楷体_GBK"/>
          <w:sz w:val="32"/>
          <w:szCs w:val="32"/>
        </w:rPr>
      </w:pPr>
      <w:r>
        <w:rPr>
          <w:rFonts w:hint="eastAsia" w:ascii="方正仿宋_GBK" w:eastAsia="方正仿宋_GBK"/>
          <w:b/>
          <w:bCs/>
          <w:sz w:val="32"/>
          <w:szCs w:val="32"/>
        </w:rPr>
        <w:t>4.比较情况</w:t>
      </w:r>
      <w:r>
        <w:rPr>
          <w:rFonts w:hint="eastAsia" w:ascii="方正仿宋_GBK" w:eastAsia="方正仿宋_GBK"/>
          <w:sz w:val="32"/>
          <w:szCs w:val="32"/>
        </w:rPr>
        <w:t>。本部门202</w:t>
      </w:r>
      <w:r>
        <w:rPr>
          <w:rFonts w:ascii="方正仿宋_GBK" w:eastAsia="方正仿宋_GBK"/>
          <w:sz w:val="32"/>
          <w:szCs w:val="32"/>
        </w:rPr>
        <w:t>2</w:t>
      </w:r>
      <w:r>
        <w:rPr>
          <w:rFonts w:hint="eastAsia" w:ascii="方正仿宋_GBK" w:eastAsia="方正仿宋_GBK"/>
          <w:sz w:val="32"/>
          <w:szCs w:val="32"/>
        </w:rPr>
        <w:t>年度一般公共预算财政拨款支出主要用于以下几个方面：</w:t>
      </w:r>
    </w:p>
    <w:p w14:paraId="507179D3">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（1）公共安全支出44,279.86万元，占88.3%，较年初预算数减少8,353.00万元，下降15.9%，主要原因是</w:t>
      </w:r>
      <w:r>
        <w:rPr>
          <w:rFonts w:ascii="方正仿宋_GBK" w:eastAsia="方正仿宋_GBK"/>
          <w:sz w:val="32"/>
          <w:szCs w:val="32"/>
        </w:rPr>
        <w:t>分局</w:t>
      </w:r>
      <w:r>
        <w:rPr>
          <w:rFonts w:hint="eastAsia" w:ascii="方正仿宋_GBK" w:eastAsia="方正仿宋_GBK"/>
          <w:sz w:val="32"/>
          <w:szCs w:val="32"/>
        </w:rPr>
        <w:t>严格落实全市清理规范公务员工资津补贴工作要求和辅警人员数量减少</w:t>
      </w:r>
      <w:r>
        <w:rPr>
          <w:rFonts w:ascii="方正仿宋_GBK" w:eastAsia="方正仿宋_GBK"/>
          <w:sz w:val="32"/>
          <w:szCs w:val="32"/>
        </w:rPr>
        <w:t>压缩支出，</w:t>
      </w:r>
      <w:r>
        <w:rPr>
          <w:rFonts w:hint="eastAsia" w:ascii="方正仿宋_GBK" w:eastAsia="方正仿宋_GBK"/>
          <w:sz w:val="32"/>
          <w:szCs w:val="32"/>
        </w:rPr>
        <w:t>以及</w:t>
      </w:r>
      <w:r>
        <w:rPr>
          <w:rFonts w:ascii="方正仿宋_GBK" w:eastAsia="方正仿宋_GBK"/>
          <w:sz w:val="32"/>
          <w:szCs w:val="32"/>
        </w:rPr>
        <w:t>受疫情影响部分项目</w:t>
      </w:r>
      <w:r>
        <w:rPr>
          <w:rFonts w:hint="eastAsia" w:ascii="方正仿宋_GBK" w:eastAsia="方正仿宋_GBK"/>
          <w:sz w:val="32"/>
          <w:szCs w:val="32"/>
        </w:rPr>
        <w:t>建设进度</w:t>
      </w:r>
      <w:r>
        <w:rPr>
          <w:rFonts w:ascii="方正仿宋_GBK" w:eastAsia="方正仿宋_GBK"/>
          <w:sz w:val="32"/>
          <w:szCs w:val="32"/>
        </w:rPr>
        <w:t>推迟</w:t>
      </w:r>
      <w:r>
        <w:rPr>
          <w:rFonts w:hint="eastAsia" w:ascii="方正仿宋_GBK" w:eastAsia="方正仿宋_GBK"/>
          <w:sz w:val="32"/>
          <w:szCs w:val="32"/>
        </w:rPr>
        <w:t>，减少了项目支出。</w:t>
      </w:r>
    </w:p>
    <w:p w14:paraId="45D79279">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（2）社会保障与就业支出2,399.82万元，占4.8%，较年初预算数增加335.80万元，增长16.3%，</w:t>
      </w:r>
      <w:r>
        <w:rPr>
          <w:rFonts w:ascii="方正仿宋_GBK" w:eastAsia="方正仿宋_GBK"/>
          <w:sz w:val="32"/>
          <w:szCs w:val="32"/>
        </w:rPr>
        <w:t>主要原因是</w:t>
      </w:r>
      <w:r>
        <w:rPr>
          <w:rFonts w:hint="eastAsia" w:ascii="方正仿宋_GBK" w:eastAsia="方正仿宋_GBK"/>
          <w:sz w:val="32"/>
          <w:szCs w:val="32"/>
        </w:rPr>
        <w:t>分局在职在编人员增加变动，养老保险</w:t>
      </w:r>
      <w:r>
        <w:rPr>
          <w:rFonts w:ascii="方正仿宋_GBK" w:eastAsia="方正仿宋_GBK"/>
          <w:sz w:val="32"/>
          <w:szCs w:val="32"/>
        </w:rPr>
        <w:t>、职业年金</w:t>
      </w:r>
      <w:r>
        <w:rPr>
          <w:rFonts w:hint="eastAsia" w:ascii="方正仿宋_GBK" w:eastAsia="方正仿宋_GBK"/>
          <w:sz w:val="32"/>
          <w:szCs w:val="32"/>
        </w:rPr>
        <w:t>缴费</w:t>
      </w:r>
      <w:r>
        <w:rPr>
          <w:rFonts w:ascii="方正仿宋_GBK" w:eastAsia="方正仿宋_GBK"/>
          <w:sz w:val="32"/>
          <w:szCs w:val="32"/>
        </w:rPr>
        <w:t>基数</w:t>
      </w:r>
      <w:r>
        <w:rPr>
          <w:rFonts w:hint="eastAsia" w:ascii="方正仿宋_GBK" w:eastAsia="方正仿宋_GBK"/>
          <w:sz w:val="32"/>
          <w:szCs w:val="32"/>
        </w:rPr>
        <w:t>进行</w:t>
      </w:r>
      <w:r>
        <w:rPr>
          <w:rFonts w:ascii="方正仿宋_GBK" w:eastAsia="方正仿宋_GBK"/>
          <w:sz w:val="32"/>
          <w:szCs w:val="32"/>
        </w:rPr>
        <w:t>了调整</w:t>
      </w:r>
      <w:r>
        <w:rPr>
          <w:rFonts w:hint="eastAsia" w:ascii="方正仿宋_GBK" w:eastAsia="方正仿宋_GBK"/>
          <w:sz w:val="32"/>
          <w:szCs w:val="32"/>
        </w:rPr>
        <w:t>。</w:t>
      </w:r>
    </w:p>
    <w:p w14:paraId="583D7143">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（3）卫生健康支出</w:t>
      </w:r>
      <w:r>
        <w:rPr>
          <w:rFonts w:ascii="方正仿宋_GBK" w:eastAsia="方正仿宋_GBK"/>
          <w:sz w:val="32"/>
          <w:szCs w:val="32"/>
        </w:rPr>
        <w:t>1,081.32万元，占2.2%，较年初预算数增加157.52万元，增长17.1%，主要原因是</w:t>
      </w:r>
      <w:r>
        <w:rPr>
          <w:rFonts w:hint="eastAsia" w:ascii="方正仿宋_GBK" w:eastAsia="方正仿宋_GBK"/>
          <w:sz w:val="32"/>
          <w:szCs w:val="32"/>
        </w:rPr>
        <w:t>分局在职在编人员发生人员增加变动，医疗保险缴费</w:t>
      </w:r>
      <w:r>
        <w:rPr>
          <w:rFonts w:ascii="方正仿宋_GBK" w:eastAsia="方正仿宋_GBK"/>
          <w:sz w:val="32"/>
          <w:szCs w:val="32"/>
        </w:rPr>
        <w:t>基数</w:t>
      </w:r>
      <w:r>
        <w:rPr>
          <w:rFonts w:hint="eastAsia" w:ascii="方正仿宋_GBK" w:eastAsia="方正仿宋_GBK"/>
          <w:sz w:val="32"/>
          <w:szCs w:val="32"/>
        </w:rPr>
        <w:t>进行</w:t>
      </w:r>
      <w:r>
        <w:rPr>
          <w:rFonts w:ascii="方正仿宋_GBK" w:eastAsia="方正仿宋_GBK"/>
          <w:sz w:val="32"/>
          <w:szCs w:val="32"/>
        </w:rPr>
        <w:t>了调整。</w:t>
      </w:r>
    </w:p>
    <w:p w14:paraId="6C43AC49">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（4）城乡社区支出1.80万元，占0</w:t>
      </w:r>
      <w:r>
        <w:rPr>
          <w:rFonts w:ascii="方正仿宋_GBK" w:eastAsia="方正仿宋_GBK"/>
          <w:sz w:val="32"/>
          <w:szCs w:val="32"/>
        </w:rPr>
        <w:t>.0</w:t>
      </w:r>
      <w:r>
        <w:rPr>
          <w:rFonts w:hint="eastAsia" w:ascii="方正仿宋_GBK" w:eastAsia="方正仿宋_GBK"/>
          <w:sz w:val="32"/>
          <w:szCs w:val="32"/>
        </w:rPr>
        <w:t>%，较年初预算数增加1.80万元，增长100.0%，主要原因是区财政年中追加区级先进个人奖励。</w:t>
      </w:r>
    </w:p>
    <w:p w14:paraId="66707EDC">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（5）住房保障支出2,369.15万元，占4.7%，较年初预算数增加844.57万元，增长55.4%，主要原因是年中在职人员公积金预算口径发生变化调整预算</w:t>
      </w:r>
      <w:r>
        <w:rPr>
          <w:rFonts w:ascii="方正仿宋_GBK" w:eastAsia="方正仿宋_GBK"/>
          <w:sz w:val="32"/>
          <w:szCs w:val="32"/>
        </w:rPr>
        <w:t>。</w:t>
      </w:r>
    </w:p>
    <w:p w14:paraId="6CAFB920">
      <w:pPr>
        <w:spacing w:line="560" w:lineRule="exact"/>
        <w:ind w:firstLine="643" w:firstLineChars="200"/>
        <w:rPr>
          <w:rFonts w:ascii="方正楷体_GBK" w:eastAsia="方正楷体_GBK"/>
          <w:sz w:val="32"/>
          <w:szCs w:val="32"/>
        </w:rPr>
      </w:pPr>
      <w:r>
        <w:rPr>
          <w:rFonts w:hint="eastAsia" w:ascii="方正楷体_GBK" w:eastAsia="方正楷体_GBK"/>
          <w:b/>
          <w:bCs/>
          <w:sz w:val="32"/>
          <w:szCs w:val="32"/>
        </w:rPr>
        <w:t>（四）一般公共预算财政拨款基本支出决算情况说明</w:t>
      </w:r>
    </w:p>
    <w:p w14:paraId="401E9642">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2022年度一般公共预算财政拨款基本支出32,114.77万元。其中：人员经费27,446.32万元，较上年决算数减少5,781.00万元，下降17.4%，主要原因是辅警支出不再列入人员经费，由</w:t>
      </w:r>
      <w:r>
        <w:rPr>
          <w:rFonts w:ascii="方正仿宋_GBK" w:eastAsia="方正仿宋_GBK"/>
          <w:sz w:val="32"/>
          <w:szCs w:val="32"/>
        </w:rPr>
        <w:t>项目支出</w:t>
      </w:r>
      <w:r>
        <w:rPr>
          <w:rFonts w:hint="eastAsia" w:ascii="方正仿宋_GBK" w:eastAsia="方正仿宋_GBK"/>
          <w:sz w:val="32"/>
          <w:szCs w:val="32"/>
        </w:rPr>
        <w:t>保障。人员经费用途主要包括：在职人员的工资福利性支出、退休人员的个人和家庭补助支出。公用经费4,668.44万元，较上年决算数减少2,830.75万元，下降37.7%，主要原因是规范在职人员市内</w:t>
      </w:r>
      <w:r>
        <w:rPr>
          <w:rFonts w:ascii="方正仿宋_GBK" w:eastAsia="方正仿宋_GBK"/>
          <w:sz w:val="32"/>
          <w:szCs w:val="32"/>
        </w:rPr>
        <w:t>差旅</w:t>
      </w:r>
      <w:r>
        <w:rPr>
          <w:rFonts w:hint="eastAsia" w:ascii="方正仿宋_GBK" w:eastAsia="方正仿宋_GBK"/>
          <w:sz w:val="32"/>
          <w:szCs w:val="32"/>
        </w:rPr>
        <w:t>支出，预算总额相应调减。公用经费用途主要保障分局基本运转所需的办公费、印刷费</w:t>
      </w:r>
      <w:r>
        <w:rPr>
          <w:rFonts w:ascii="方正仿宋_GBK" w:eastAsia="方正仿宋_GBK"/>
          <w:sz w:val="32"/>
          <w:szCs w:val="32"/>
        </w:rPr>
        <w:t>、水费、电费、邮电费、物业管理费、</w:t>
      </w:r>
      <w:r>
        <w:rPr>
          <w:rFonts w:hint="eastAsia" w:ascii="方正仿宋_GBK" w:eastAsia="方正仿宋_GBK"/>
          <w:sz w:val="32"/>
          <w:szCs w:val="32"/>
        </w:rPr>
        <w:t>差旅费</w:t>
      </w:r>
      <w:r>
        <w:rPr>
          <w:rFonts w:ascii="方正仿宋_GBK" w:eastAsia="方正仿宋_GBK"/>
          <w:sz w:val="32"/>
          <w:szCs w:val="32"/>
        </w:rPr>
        <w:t>、</w:t>
      </w:r>
      <w:r>
        <w:rPr>
          <w:rFonts w:hint="eastAsia" w:ascii="方正仿宋_GBK" w:eastAsia="方正仿宋_GBK"/>
          <w:sz w:val="32"/>
          <w:szCs w:val="32"/>
        </w:rPr>
        <w:t>维修</w:t>
      </w:r>
      <w:r>
        <w:rPr>
          <w:rFonts w:ascii="方正仿宋_GBK" w:eastAsia="方正仿宋_GBK"/>
          <w:sz w:val="32"/>
          <w:szCs w:val="32"/>
        </w:rPr>
        <w:t>（</w:t>
      </w:r>
      <w:r>
        <w:rPr>
          <w:rFonts w:hint="eastAsia" w:ascii="方正仿宋_GBK" w:eastAsia="方正仿宋_GBK"/>
          <w:sz w:val="32"/>
          <w:szCs w:val="32"/>
        </w:rPr>
        <w:t>护</w:t>
      </w:r>
      <w:r>
        <w:rPr>
          <w:rFonts w:ascii="方正仿宋_GBK" w:eastAsia="方正仿宋_GBK"/>
          <w:sz w:val="32"/>
          <w:szCs w:val="32"/>
        </w:rPr>
        <w:t>）</w:t>
      </w:r>
      <w:r>
        <w:rPr>
          <w:rFonts w:hint="eastAsia" w:ascii="方正仿宋_GBK" w:eastAsia="方正仿宋_GBK"/>
          <w:sz w:val="32"/>
          <w:szCs w:val="32"/>
        </w:rPr>
        <w:t>费</w:t>
      </w:r>
      <w:r>
        <w:rPr>
          <w:rFonts w:ascii="方正仿宋_GBK" w:eastAsia="方正仿宋_GBK"/>
          <w:sz w:val="32"/>
          <w:szCs w:val="32"/>
        </w:rPr>
        <w:t>、</w:t>
      </w:r>
      <w:r>
        <w:rPr>
          <w:rFonts w:hint="eastAsia" w:ascii="方正仿宋_GBK" w:eastAsia="方正仿宋_GBK"/>
          <w:sz w:val="32"/>
          <w:szCs w:val="32"/>
        </w:rPr>
        <w:t>租赁费</w:t>
      </w:r>
      <w:r>
        <w:rPr>
          <w:rFonts w:ascii="方正仿宋_GBK" w:eastAsia="方正仿宋_GBK"/>
          <w:sz w:val="32"/>
          <w:szCs w:val="32"/>
        </w:rPr>
        <w:t>、培训费、专用材料费、劳务费、委托业务费、工会经费、福利费、</w:t>
      </w:r>
      <w:r>
        <w:rPr>
          <w:rFonts w:hint="eastAsia" w:ascii="方正仿宋_GBK" w:eastAsia="方正仿宋_GBK"/>
          <w:sz w:val="32"/>
          <w:szCs w:val="32"/>
        </w:rPr>
        <w:t>公务用车运行维护费、其他</w:t>
      </w:r>
      <w:r>
        <w:rPr>
          <w:rFonts w:ascii="方正仿宋_GBK" w:eastAsia="方正仿宋_GBK"/>
          <w:sz w:val="32"/>
          <w:szCs w:val="32"/>
        </w:rPr>
        <w:t>交通费、</w:t>
      </w:r>
      <w:r>
        <w:rPr>
          <w:rFonts w:hint="eastAsia" w:ascii="方正仿宋_GBK" w:eastAsia="方正仿宋_GBK"/>
          <w:sz w:val="32"/>
          <w:szCs w:val="32"/>
        </w:rPr>
        <w:t>其他</w:t>
      </w:r>
      <w:r>
        <w:rPr>
          <w:rFonts w:ascii="方正仿宋_GBK" w:eastAsia="方正仿宋_GBK"/>
          <w:sz w:val="32"/>
          <w:szCs w:val="32"/>
        </w:rPr>
        <w:t>商品</w:t>
      </w:r>
      <w:r>
        <w:rPr>
          <w:rFonts w:hint="eastAsia" w:ascii="方正仿宋_GBK" w:eastAsia="方正仿宋_GBK"/>
          <w:sz w:val="32"/>
          <w:szCs w:val="32"/>
        </w:rPr>
        <w:t>服务支出、</w:t>
      </w:r>
      <w:r>
        <w:rPr>
          <w:rFonts w:ascii="方正仿宋_GBK" w:eastAsia="方正仿宋_GBK"/>
          <w:sz w:val="32"/>
          <w:szCs w:val="32"/>
        </w:rPr>
        <w:t>办公设备购置</w:t>
      </w:r>
      <w:r>
        <w:rPr>
          <w:rFonts w:hint="eastAsia" w:ascii="方正仿宋_GBK" w:eastAsia="方正仿宋_GBK"/>
          <w:sz w:val="32"/>
          <w:szCs w:val="32"/>
        </w:rPr>
        <w:t>等。</w:t>
      </w:r>
    </w:p>
    <w:p w14:paraId="5B5284F6">
      <w:pPr>
        <w:spacing w:line="560" w:lineRule="exact"/>
        <w:ind w:firstLine="643" w:firstLineChars="200"/>
        <w:rPr>
          <w:rFonts w:ascii="方正楷体_GBK" w:eastAsia="方正楷体_GBK"/>
          <w:b/>
          <w:bCs/>
          <w:sz w:val="32"/>
          <w:szCs w:val="32"/>
        </w:rPr>
      </w:pPr>
      <w:r>
        <w:rPr>
          <w:rFonts w:hint="eastAsia" w:ascii="方正楷体_GBK" w:eastAsia="方正楷体_GBK"/>
          <w:b/>
          <w:bCs/>
          <w:sz w:val="32"/>
          <w:szCs w:val="32"/>
        </w:rPr>
        <w:t>（五）政府性基金预算收支决算情况说明</w:t>
      </w:r>
    </w:p>
    <w:p w14:paraId="0CD6E5BB">
      <w:pPr>
        <w:spacing w:line="560" w:lineRule="exact"/>
        <w:ind w:firstLine="640" w:firstLineChars="200"/>
        <w:rPr>
          <w:rFonts w:ascii="方正楷体_GBK" w:eastAsia="方正楷体_GBK"/>
          <w:b/>
          <w:bCs/>
          <w:sz w:val="32"/>
          <w:szCs w:val="32"/>
        </w:rPr>
      </w:pPr>
      <w:r>
        <w:rPr>
          <w:rFonts w:hint="eastAsia" w:ascii="方正仿宋_GBK" w:eastAsia="方正仿宋_GBK"/>
          <w:sz w:val="32"/>
          <w:szCs w:val="32"/>
        </w:rPr>
        <w:t>本部门202</w:t>
      </w:r>
      <w:r>
        <w:rPr>
          <w:rFonts w:ascii="方正仿宋_GBK" w:eastAsia="方正仿宋_GBK"/>
          <w:sz w:val="32"/>
          <w:szCs w:val="32"/>
        </w:rPr>
        <w:t>2</w:t>
      </w:r>
      <w:r>
        <w:rPr>
          <w:rFonts w:hint="eastAsia" w:ascii="方正仿宋_GBK" w:eastAsia="方正仿宋_GBK"/>
          <w:sz w:val="32"/>
          <w:szCs w:val="32"/>
        </w:rPr>
        <w:t>年度无政府性基金预算财政拨款收支。</w:t>
      </w:r>
    </w:p>
    <w:p w14:paraId="31733A61">
      <w:pPr>
        <w:spacing w:line="560" w:lineRule="exact"/>
        <w:ind w:firstLine="643" w:firstLineChars="200"/>
        <w:rPr>
          <w:rFonts w:ascii="方正楷体_GBK" w:eastAsia="方正楷体_GBK"/>
          <w:b/>
          <w:bCs/>
          <w:sz w:val="32"/>
          <w:szCs w:val="32"/>
        </w:rPr>
      </w:pPr>
      <w:r>
        <w:rPr>
          <w:rFonts w:hint="eastAsia" w:ascii="方正楷体_GBK" w:eastAsia="方正楷体_GBK"/>
          <w:b/>
          <w:bCs/>
          <w:sz w:val="32"/>
          <w:szCs w:val="32"/>
        </w:rPr>
        <w:t>（六）国有资本经营预算财政拨款支出决算情况说明</w:t>
      </w:r>
    </w:p>
    <w:p w14:paraId="33166AA7">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本部门202</w:t>
      </w:r>
      <w:r>
        <w:rPr>
          <w:rFonts w:ascii="方正仿宋_GBK" w:eastAsia="方正仿宋_GBK"/>
          <w:sz w:val="32"/>
          <w:szCs w:val="32"/>
        </w:rPr>
        <w:t>2</w:t>
      </w:r>
      <w:r>
        <w:rPr>
          <w:rFonts w:hint="eastAsia" w:ascii="方正仿宋_GBK" w:eastAsia="方正仿宋_GBK"/>
          <w:sz w:val="32"/>
          <w:szCs w:val="32"/>
        </w:rPr>
        <w:t>年度无国有资本经营预算财政拨款支出。</w:t>
      </w:r>
    </w:p>
    <w:p w14:paraId="6D620581">
      <w:pPr>
        <w:spacing w:line="560" w:lineRule="exact"/>
        <w:ind w:firstLine="640" w:firstLineChars="200"/>
        <w:rPr>
          <w:rFonts w:ascii="方正楷体_GBK" w:eastAsia="方正楷体_GBK"/>
          <w:bCs/>
          <w:sz w:val="32"/>
          <w:szCs w:val="32"/>
        </w:rPr>
      </w:pPr>
      <w:r>
        <w:rPr>
          <w:rFonts w:hint="eastAsia" w:ascii="方正黑体_GBK" w:eastAsia="方正黑体_GBK"/>
          <w:bCs/>
          <w:sz w:val="32"/>
          <w:szCs w:val="32"/>
        </w:rPr>
        <w:t>三、“三公”经费情况说明</w:t>
      </w:r>
    </w:p>
    <w:p w14:paraId="475149C6">
      <w:pPr>
        <w:spacing w:line="560" w:lineRule="exact"/>
        <w:ind w:firstLine="643" w:firstLineChars="200"/>
        <w:rPr>
          <w:rFonts w:ascii="方正楷体_GBK" w:eastAsia="方正楷体_GBK"/>
          <w:b/>
          <w:bCs/>
          <w:sz w:val="32"/>
          <w:szCs w:val="32"/>
        </w:rPr>
      </w:pPr>
      <w:r>
        <w:rPr>
          <w:rFonts w:hint="eastAsia" w:ascii="方正楷体_GBK" w:eastAsia="方正楷体_GBK"/>
          <w:b/>
          <w:bCs/>
          <w:sz w:val="32"/>
          <w:szCs w:val="32"/>
        </w:rPr>
        <w:t>（一）“三公”经费支出总体情况说明</w:t>
      </w:r>
    </w:p>
    <w:p w14:paraId="5B8F75B2">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2022年度“三公”经费支出共计470.16万元，较年初预算数减少429.82万元，下降47.8%，主要原因是</w:t>
      </w:r>
      <w:r>
        <w:rPr>
          <w:rFonts w:ascii="方正仿宋_GBK" w:eastAsia="方正仿宋_GBK"/>
          <w:sz w:val="32"/>
          <w:szCs w:val="32"/>
        </w:rPr>
        <w:t>严格落实公车使用规定，公车</w:t>
      </w:r>
      <w:r>
        <w:rPr>
          <w:rFonts w:hint="eastAsia" w:ascii="方正仿宋_GBK" w:eastAsia="方正仿宋_GBK"/>
          <w:sz w:val="32"/>
          <w:szCs w:val="32"/>
        </w:rPr>
        <w:t>车况</w:t>
      </w:r>
      <w:r>
        <w:rPr>
          <w:rFonts w:ascii="方正仿宋_GBK" w:eastAsia="方正仿宋_GBK"/>
          <w:sz w:val="32"/>
          <w:szCs w:val="32"/>
        </w:rPr>
        <w:t>较新，运行维护成本</w:t>
      </w:r>
      <w:r>
        <w:rPr>
          <w:rFonts w:hint="eastAsia" w:ascii="方正仿宋_GBK" w:eastAsia="方正仿宋_GBK"/>
          <w:sz w:val="32"/>
          <w:szCs w:val="32"/>
        </w:rPr>
        <w:t>相对较低。较上年支出数减少70.24万元，下降13%，主要原因是部分</w:t>
      </w:r>
      <w:r>
        <w:rPr>
          <w:rFonts w:ascii="方正仿宋_GBK" w:eastAsia="方正仿宋_GBK"/>
          <w:sz w:val="32"/>
          <w:szCs w:val="32"/>
        </w:rPr>
        <w:t>公车报废更新</w:t>
      </w:r>
      <w:r>
        <w:rPr>
          <w:rFonts w:hint="eastAsia" w:ascii="方正仿宋_GBK" w:eastAsia="方正仿宋_GBK"/>
          <w:sz w:val="32"/>
          <w:szCs w:val="32"/>
        </w:rPr>
        <w:t>手续</w:t>
      </w:r>
      <w:r>
        <w:rPr>
          <w:rFonts w:ascii="方正仿宋_GBK" w:eastAsia="方正仿宋_GBK"/>
          <w:sz w:val="32"/>
          <w:szCs w:val="32"/>
        </w:rPr>
        <w:t>未完成，</w:t>
      </w:r>
      <w:r>
        <w:rPr>
          <w:rFonts w:hint="eastAsia" w:ascii="方正仿宋_GBK" w:eastAsia="方正仿宋_GBK"/>
          <w:sz w:val="32"/>
          <w:szCs w:val="32"/>
        </w:rPr>
        <w:t>公务用车购置数量减少。</w:t>
      </w:r>
    </w:p>
    <w:p w14:paraId="69F3FA55">
      <w:pPr>
        <w:spacing w:line="560" w:lineRule="exact"/>
        <w:ind w:firstLine="643" w:firstLineChars="200"/>
        <w:rPr>
          <w:rFonts w:ascii="方正楷体_GBK" w:eastAsia="方正楷体_GBK"/>
          <w:b/>
          <w:bCs/>
          <w:sz w:val="32"/>
          <w:szCs w:val="32"/>
        </w:rPr>
      </w:pPr>
      <w:r>
        <w:rPr>
          <w:rFonts w:hint="eastAsia" w:ascii="方正楷体_GBK" w:eastAsia="方正楷体_GBK"/>
          <w:b/>
          <w:bCs/>
          <w:sz w:val="32"/>
          <w:szCs w:val="32"/>
        </w:rPr>
        <w:t>（二）“三公”经费分项支出情况</w:t>
      </w:r>
    </w:p>
    <w:p w14:paraId="2539517B">
      <w:pPr>
        <w:spacing w:line="560" w:lineRule="exact"/>
        <w:ind w:firstLine="640" w:firstLineChars="200"/>
        <w:rPr>
          <w:rFonts w:ascii="方正仿宋_GBK" w:eastAsia="方正仿宋_GBK"/>
          <w:sz w:val="32"/>
          <w:szCs w:val="32"/>
        </w:rPr>
      </w:pPr>
      <w:r>
        <w:rPr>
          <w:rFonts w:ascii="方正仿宋_GBK" w:eastAsia="方正仿宋_GBK"/>
          <w:sz w:val="32"/>
          <w:szCs w:val="32"/>
        </w:rPr>
        <w:t>2022年度本部门因公出国（境）费用0万元，费用支出较年初预算数</w:t>
      </w:r>
      <w:r>
        <w:rPr>
          <w:rFonts w:hint="eastAsia" w:ascii="方正仿宋_GBK" w:eastAsia="方正仿宋_GBK"/>
          <w:sz w:val="32"/>
          <w:szCs w:val="32"/>
        </w:rPr>
        <w:t>持平</w:t>
      </w:r>
      <w:r>
        <w:rPr>
          <w:rFonts w:ascii="方正仿宋_GBK" w:eastAsia="方正仿宋_GBK"/>
          <w:sz w:val="32"/>
          <w:szCs w:val="32"/>
        </w:rPr>
        <w:t>，较上年支出数持平，主要原因是</w:t>
      </w:r>
      <w:r>
        <w:rPr>
          <w:rFonts w:hint="eastAsia" w:ascii="方正仿宋_GBK" w:eastAsia="方正仿宋_GBK"/>
          <w:sz w:val="32"/>
          <w:szCs w:val="32"/>
        </w:rPr>
        <w:t>分局在202</w:t>
      </w:r>
      <w:r>
        <w:rPr>
          <w:rFonts w:ascii="方正仿宋_GBK" w:eastAsia="方正仿宋_GBK"/>
          <w:sz w:val="32"/>
          <w:szCs w:val="32"/>
        </w:rPr>
        <w:t>2</w:t>
      </w:r>
      <w:r>
        <w:rPr>
          <w:rFonts w:hint="eastAsia" w:ascii="方正仿宋_GBK" w:eastAsia="方正仿宋_GBK"/>
          <w:sz w:val="32"/>
          <w:szCs w:val="32"/>
        </w:rPr>
        <w:t>年度无</w:t>
      </w:r>
      <w:r>
        <w:rPr>
          <w:rFonts w:ascii="方正仿宋_GBK" w:eastAsia="方正仿宋_GBK"/>
          <w:sz w:val="32"/>
          <w:szCs w:val="32"/>
        </w:rPr>
        <w:t>因公出国（境）</w:t>
      </w:r>
      <w:r>
        <w:rPr>
          <w:rFonts w:hint="eastAsia" w:ascii="方正仿宋_GBK" w:eastAsia="方正仿宋_GBK"/>
          <w:sz w:val="32"/>
          <w:szCs w:val="32"/>
        </w:rPr>
        <w:t>情形</w:t>
      </w:r>
      <w:r>
        <w:rPr>
          <w:rFonts w:ascii="方正仿宋_GBK" w:eastAsia="方正仿宋_GBK"/>
          <w:sz w:val="32"/>
          <w:szCs w:val="32"/>
        </w:rPr>
        <w:t>。</w:t>
      </w:r>
    </w:p>
    <w:p w14:paraId="63E929F4">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公务车购置费78.07万元，主要用于分局报废更新一批基层所队使用的执勤执法用车</w:t>
      </w:r>
      <w:r>
        <w:rPr>
          <w:rFonts w:ascii="方正仿宋_GBK" w:eastAsia="方正仿宋_GBK"/>
          <w:sz w:val="32"/>
          <w:szCs w:val="32"/>
        </w:rPr>
        <w:t>。</w:t>
      </w:r>
      <w:r>
        <w:rPr>
          <w:rFonts w:hint="eastAsia" w:ascii="方正仿宋_GBK" w:eastAsia="方正仿宋_GBK"/>
          <w:sz w:val="32"/>
          <w:szCs w:val="32"/>
        </w:rPr>
        <w:t>费用支出较年初预算数减少1.91万元，下降2.4%，主要原因是分局严格落实</w:t>
      </w:r>
      <w:r>
        <w:rPr>
          <w:rFonts w:ascii="方正仿宋_GBK" w:eastAsia="方正仿宋_GBK"/>
          <w:sz w:val="32"/>
          <w:szCs w:val="32"/>
        </w:rPr>
        <w:t>政府</w:t>
      </w:r>
      <w:r>
        <w:rPr>
          <w:rFonts w:hint="eastAsia" w:ascii="方正仿宋_GBK" w:eastAsia="方正仿宋_GBK"/>
          <w:sz w:val="32"/>
          <w:szCs w:val="32"/>
        </w:rPr>
        <w:t>“</w:t>
      </w:r>
      <w:r>
        <w:rPr>
          <w:rFonts w:ascii="方正仿宋_GBK" w:eastAsia="方正仿宋_GBK"/>
          <w:sz w:val="32"/>
          <w:szCs w:val="32"/>
        </w:rPr>
        <w:t>过紧日子</w:t>
      </w:r>
      <w:r>
        <w:rPr>
          <w:rFonts w:hint="eastAsia" w:ascii="方正仿宋_GBK" w:eastAsia="方正仿宋_GBK"/>
          <w:sz w:val="32"/>
          <w:szCs w:val="32"/>
        </w:rPr>
        <w:t>”</w:t>
      </w:r>
      <w:r>
        <w:rPr>
          <w:rFonts w:ascii="方正仿宋_GBK" w:eastAsia="方正仿宋_GBK"/>
          <w:sz w:val="32"/>
          <w:szCs w:val="32"/>
        </w:rPr>
        <w:t>政策要求，压缩公务车购置成本</w:t>
      </w:r>
      <w:r>
        <w:rPr>
          <w:rFonts w:hint="eastAsia" w:ascii="方正仿宋_GBK" w:eastAsia="方正仿宋_GBK"/>
          <w:sz w:val="32"/>
          <w:szCs w:val="32"/>
        </w:rPr>
        <w:t>。较上年支出数减少95.01万元，下降54.9%，主要原因是部分</w:t>
      </w:r>
      <w:r>
        <w:rPr>
          <w:rFonts w:ascii="方正仿宋_GBK" w:eastAsia="方正仿宋_GBK"/>
          <w:sz w:val="32"/>
          <w:szCs w:val="32"/>
        </w:rPr>
        <w:t>公车报废更新</w:t>
      </w:r>
      <w:r>
        <w:rPr>
          <w:rFonts w:hint="eastAsia" w:ascii="方正仿宋_GBK" w:eastAsia="方正仿宋_GBK"/>
          <w:sz w:val="32"/>
          <w:szCs w:val="32"/>
        </w:rPr>
        <w:t>手续</w:t>
      </w:r>
      <w:r>
        <w:rPr>
          <w:rFonts w:ascii="方正仿宋_GBK" w:eastAsia="方正仿宋_GBK"/>
          <w:sz w:val="32"/>
          <w:szCs w:val="32"/>
        </w:rPr>
        <w:t>未完成，</w:t>
      </w:r>
      <w:r>
        <w:rPr>
          <w:rFonts w:hint="eastAsia" w:ascii="方正仿宋_GBK" w:eastAsia="方正仿宋_GBK"/>
          <w:sz w:val="32"/>
          <w:szCs w:val="32"/>
        </w:rPr>
        <w:t>公务用车购置数量减少。</w:t>
      </w:r>
    </w:p>
    <w:p w14:paraId="64C7D008">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公务车运行维护费392.10万元，</w:t>
      </w:r>
      <w:r>
        <w:rPr>
          <w:rFonts w:ascii="方正仿宋_GBK" w:eastAsia="方正仿宋_GBK"/>
          <w:sz w:val="32"/>
          <w:szCs w:val="32"/>
        </w:rPr>
        <w:t>主要用于</w:t>
      </w:r>
      <w:r>
        <w:rPr>
          <w:rFonts w:hint="eastAsia" w:ascii="方正仿宋_GBK" w:eastAsia="方正仿宋_GBK"/>
          <w:sz w:val="32"/>
          <w:szCs w:val="32"/>
        </w:rPr>
        <w:t>分局执法执勤车辆日常运行维护支出。费用支出较年初预算数减少426.90万元，下降52.1%，主要原因是</w:t>
      </w:r>
      <w:r>
        <w:rPr>
          <w:rFonts w:ascii="方正仿宋_GBK" w:eastAsia="方正仿宋_GBK"/>
          <w:sz w:val="32"/>
          <w:szCs w:val="32"/>
        </w:rPr>
        <w:t>分局报废</w:t>
      </w:r>
      <w:r>
        <w:rPr>
          <w:rFonts w:hint="eastAsia" w:ascii="方正仿宋_GBK" w:eastAsia="方正仿宋_GBK"/>
          <w:sz w:val="32"/>
          <w:szCs w:val="32"/>
        </w:rPr>
        <w:t>更新一批执勤执法用车，新购置执法执勤用车数量总体占比大、车况新，日常维护费用和油耗较低。较上年支出数增加24.78万元，增长6.7%，主要原因是分局现有公务车</w:t>
      </w:r>
      <w:r>
        <w:rPr>
          <w:rFonts w:ascii="方正仿宋_GBK" w:eastAsia="方正仿宋_GBK"/>
          <w:sz w:val="32"/>
          <w:szCs w:val="32"/>
        </w:rPr>
        <w:t>车</w:t>
      </w:r>
      <w:r>
        <w:rPr>
          <w:rFonts w:hint="eastAsia" w:ascii="方正仿宋_GBK" w:eastAsia="方正仿宋_GBK"/>
          <w:sz w:val="32"/>
          <w:szCs w:val="32"/>
        </w:rPr>
        <w:t>况逐年老化，运行维护支出</w:t>
      </w:r>
      <w:r>
        <w:rPr>
          <w:rFonts w:ascii="方正仿宋_GBK" w:eastAsia="方正仿宋_GBK"/>
          <w:sz w:val="32"/>
          <w:szCs w:val="32"/>
        </w:rPr>
        <w:t>逐年增加</w:t>
      </w:r>
      <w:r>
        <w:rPr>
          <w:rFonts w:hint="eastAsia" w:ascii="方正仿宋_GBK" w:eastAsia="方正仿宋_GBK"/>
          <w:sz w:val="32"/>
          <w:szCs w:val="32"/>
        </w:rPr>
        <w:t>。</w:t>
      </w:r>
    </w:p>
    <w:p w14:paraId="52AA6551">
      <w:pPr>
        <w:spacing w:line="560" w:lineRule="exact"/>
        <w:ind w:firstLine="640" w:firstLineChars="200"/>
        <w:rPr>
          <w:rFonts w:ascii="方正仿宋_GBK" w:eastAsia="方正仿宋_GBK"/>
          <w:sz w:val="32"/>
          <w:szCs w:val="32"/>
        </w:rPr>
      </w:pPr>
      <w:r>
        <w:rPr>
          <w:rFonts w:ascii="方正仿宋_GBK" w:eastAsia="方正仿宋_GBK"/>
          <w:sz w:val="32"/>
          <w:szCs w:val="32"/>
        </w:rPr>
        <w:t>公务接待费0万元，费用支出较年初预算数</w:t>
      </w:r>
      <w:r>
        <w:rPr>
          <w:rFonts w:hint="eastAsia" w:ascii="方正仿宋_GBK" w:eastAsia="方正仿宋_GBK"/>
          <w:sz w:val="32"/>
          <w:szCs w:val="32"/>
        </w:rPr>
        <w:t>持平</w:t>
      </w:r>
      <w:r>
        <w:rPr>
          <w:rFonts w:ascii="方正仿宋_GBK" w:eastAsia="方正仿宋_GBK"/>
          <w:sz w:val="32"/>
          <w:szCs w:val="32"/>
        </w:rPr>
        <w:t>，较上年支出数</w:t>
      </w:r>
      <w:r>
        <w:rPr>
          <w:rFonts w:hint="eastAsia" w:ascii="方正仿宋_GBK" w:eastAsia="方正仿宋_GBK"/>
          <w:sz w:val="32"/>
          <w:szCs w:val="32"/>
        </w:rPr>
        <w:t>持平</w:t>
      </w:r>
      <w:r>
        <w:rPr>
          <w:rFonts w:ascii="方正仿宋_GBK" w:eastAsia="方正仿宋_GBK"/>
          <w:sz w:val="32"/>
          <w:szCs w:val="32"/>
        </w:rPr>
        <w:t>，主要原因是</w:t>
      </w:r>
      <w:r>
        <w:rPr>
          <w:rFonts w:hint="eastAsia" w:ascii="方正仿宋_GBK" w:eastAsia="方正仿宋_GBK"/>
          <w:sz w:val="32"/>
          <w:szCs w:val="32"/>
        </w:rPr>
        <w:t>本年未发生</w:t>
      </w:r>
      <w:r>
        <w:rPr>
          <w:rFonts w:ascii="方正仿宋_GBK" w:eastAsia="方正仿宋_GBK"/>
          <w:sz w:val="32"/>
          <w:szCs w:val="32"/>
        </w:rPr>
        <w:t>接待</w:t>
      </w:r>
      <w:r>
        <w:rPr>
          <w:rFonts w:hint="eastAsia" w:ascii="方正仿宋_GBK" w:eastAsia="方正仿宋_GBK"/>
          <w:sz w:val="32"/>
          <w:szCs w:val="32"/>
        </w:rPr>
        <w:t>支出情形</w:t>
      </w:r>
      <w:r>
        <w:rPr>
          <w:rFonts w:ascii="方正仿宋_GBK" w:eastAsia="方正仿宋_GBK"/>
          <w:sz w:val="32"/>
          <w:szCs w:val="32"/>
        </w:rPr>
        <w:t>。</w:t>
      </w:r>
    </w:p>
    <w:p w14:paraId="04CA0038">
      <w:pPr>
        <w:spacing w:line="560" w:lineRule="exact"/>
        <w:ind w:firstLine="643" w:firstLineChars="200"/>
        <w:rPr>
          <w:rFonts w:ascii="方正楷体_GBK" w:eastAsia="方正楷体_GBK"/>
          <w:sz w:val="32"/>
          <w:szCs w:val="32"/>
        </w:rPr>
      </w:pPr>
      <w:r>
        <w:rPr>
          <w:rFonts w:hint="eastAsia" w:ascii="方正楷体_GBK" w:eastAsia="方正楷体_GBK"/>
          <w:b/>
          <w:bCs/>
          <w:sz w:val="32"/>
          <w:szCs w:val="32"/>
        </w:rPr>
        <w:t>（三）“三公”经费实物量情况</w:t>
      </w:r>
    </w:p>
    <w:p w14:paraId="389D7525">
      <w:pPr>
        <w:spacing w:line="560" w:lineRule="exact"/>
        <w:ind w:firstLine="640" w:firstLineChars="200"/>
        <w:rPr>
          <w:rFonts w:ascii="方正仿宋_GBK" w:eastAsia="方正仿宋_GBK"/>
          <w:sz w:val="32"/>
          <w:szCs w:val="32"/>
        </w:rPr>
      </w:pPr>
      <w:r>
        <w:rPr>
          <w:rFonts w:ascii="方正仿宋_GBK" w:eastAsia="方正仿宋_GBK"/>
          <w:sz w:val="32"/>
          <w:szCs w:val="32"/>
        </w:rPr>
        <w:t>2022年度本部门因公出国（境）共计0个团组，0人；</w:t>
      </w:r>
      <w:r>
        <w:rPr>
          <w:rFonts w:hint="eastAsia" w:ascii="方正仿宋_GBK" w:eastAsia="方正仿宋_GBK"/>
          <w:sz w:val="32"/>
          <w:szCs w:val="32"/>
        </w:rPr>
        <w:t>公务用车购置4辆，公务车保有量为196辆；国内公务接待0批次0人，其中：国内外事接待0批次，0人；国（境）外公务接待0批次，0人。2022年本部门人均接待费0元，车均购置费19.52万元，车均维护费2万元。</w:t>
      </w:r>
    </w:p>
    <w:p w14:paraId="74E30066">
      <w:pPr>
        <w:spacing w:line="560" w:lineRule="exact"/>
        <w:ind w:firstLine="640" w:firstLineChars="200"/>
        <w:rPr>
          <w:rFonts w:ascii="方正黑体_GBK" w:eastAsia="方正黑体_GBK"/>
          <w:sz w:val="32"/>
          <w:szCs w:val="32"/>
        </w:rPr>
      </w:pPr>
      <w:r>
        <w:rPr>
          <w:rFonts w:hint="eastAsia" w:ascii="方正黑体_GBK" w:eastAsia="方正黑体_GBK"/>
          <w:bCs/>
          <w:sz w:val="32"/>
          <w:szCs w:val="32"/>
        </w:rPr>
        <w:t>四、其他需要说明的事项</w:t>
      </w:r>
    </w:p>
    <w:p w14:paraId="14A829BD">
      <w:pPr>
        <w:spacing w:line="560" w:lineRule="exact"/>
        <w:ind w:firstLine="643" w:firstLineChars="200"/>
        <w:rPr>
          <w:rFonts w:ascii="方正黑体_GBK" w:eastAsia="方正黑体_GBK"/>
          <w:sz w:val="32"/>
          <w:szCs w:val="32"/>
        </w:rPr>
      </w:pPr>
      <w:r>
        <w:rPr>
          <w:rFonts w:ascii="方正楷体_GBK" w:eastAsia="方正楷体_GBK"/>
          <w:b/>
          <w:bCs/>
          <w:sz w:val="32"/>
          <w:szCs w:val="32"/>
        </w:rPr>
        <w:t>（一）一般公共预算财政拨款会议费和培训费情况说明</w:t>
      </w:r>
    </w:p>
    <w:p w14:paraId="6403132B">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本年度会议费支出0.00万元，较上年决算数增加0万元，与上年</w:t>
      </w:r>
      <w:r>
        <w:rPr>
          <w:rFonts w:ascii="方正仿宋_GBK" w:eastAsia="方正仿宋_GBK"/>
          <w:sz w:val="32"/>
          <w:szCs w:val="32"/>
        </w:rPr>
        <w:t>持平</w:t>
      </w:r>
      <w:r>
        <w:rPr>
          <w:rFonts w:hint="eastAsia" w:ascii="方正仿宋_GBK" w:eastAsia="方正仿宋_GBK"/>
          <w:sz w:val="32"/>
          <w:szCs w:val="32"/>
        </w:rPr>
        <w:t>，主要原因是2022年本部门未举办大型</w:t>
      </w:r>
      <w:r>
        <w:rPr>
          <w:rFonts w:ascii="方正仿宋_GBK" w:eastAsia="方正仿宋_GBK"/>
          <w:sz w:val="32"/>
          <w:szCs w:val="32"/>
        </w:rPr>
        <w:t>会议</w:t>
      </w:r>
      <w:r>
        <w:rPr>
          <w:rFonts w:hint="eastAsia" w:ascii="方正仿宋_GBK" w:eastAsia="方正仿宋_GBK"/>
          <w:sz w:val="32"/>
          <w:szCs w:val="32"/>
        </w:rPr>
        <w:t>。本年度培训费支出36.88万元，较上年决算数减少9.91万元，下降21.2%，主要原因是受疫情防控影响，</w:t>
      </w:r>
      <w:r>
        <w:rPr>
          <w:rFonts w:ascii="方正仿宋_GBK" w:eastAsia="方正仿宋_GBK"/>
          <w:sz w:val="32"/>
          <w:szCs w:val="32"/>
        </w:rPr>
        <w:t>取消</w:t>
      </w:r>
      <w:r>
        <w:rPr>
          <w:rFonts w:hint="eastAsia" w:ascii="方正仿宋_GBK" w:eastAsia="方正仿宋_GBK"/>
          <w:sz w:val="32"/>
          <w:szCs w:val="32"/>
        </w:rPr>
        <w:t>缩减了培训计划。</w:t>
      </w:r>
    </w:p>
    <w:p w14:paraId="63BFE862">
      <w:pPr>
        <w:spacing w:line="560" w:lineRule="exact"/>
        <w:ind w:firstLine="643" w:firstLineChars="200"/>
        <w:rPr>
          <w:rFonts w:ascii="方正楷体_GBK" w:eastAsia="方正楷体_GBK"/>
          <w:b/>
          <w:bCs/>
          <w:sz w:val="32"/>
          <w:szCs w:val="32"/>
        </w:rPr>
      </w:pPr>
      <w:r>
        <w:rPr>
          <w:rFonts w:ascii="方正楷体_GBK" w:eastAsia="方正楷体_GBK"/>
          <w:b/>
          <w:bCs/>
          <w:sz w:val="32"/>
          <w:szCs w:val="32"/>
        </w:rPr>
        <w:t>（二）机关运行经费情况说明</w:t>
      </w:r>
    </w:p>
    <w:p w14:paraId="231CEC3A">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2022年度本部门机关运行经费支出4,668.44万元，主要用于开支办公费、邮电费、水电费、差旅费、福利费、培训费、物业管理费、租赁费、补助工会经费、公务用车运行维护费、</w:t>
      </w:r>
      <w:r>
        <w:rPr>
          <w:rFonts w:ascii="方正仿宋_GBK" w:eastAsia="方正仿宋_GBK"/>
          <w:sz w:val="32"/>
          <w:szCs w:val="32"/>
        </w:rPr>
        <w:t>其他交通费用</w:t>
      </w:r>
      <w:r>
        <w:rPr>
          <w:rFonts w:hint="eastAsia" w:ascii="方正仿宋_GBK" w:eastAsia="方正仿宋_GBK"/>
          <w:sz w:val="32"/>
          <w:szCs w:val="32"/>
        </w:rPr>
        <w:t>、其他商品和服务支出、公务用车购置、办公设备购置等。机关运行经费较上年决算数减少2,830.75万元，下降37.7%，主要原因是严格落实政府“过紧日子”政策，</w:t>
      </w:r>
      <w:r>
        <w:rPr>
          <w:rFonts w:ascii="方正仿宋_GBK" w:eastAsia="方正仿宋_GBK"/>
          <w:sz w:val="32"/>
          <w:szCs w:val="32"/>
        </w:rPr>
        <w:t>压缩机关运行成本</w:t>
      </w:r>
      <w:r>
        <w:rPr>
          <w:rFonts w:hint="eastAsia" w:ascii="方正仿宋_GBK" w:eastAsia="方正仿宋_GBK"/>
          <w:sz w:val="32"/>
          <w:szCs w:val="32"/>
        </w:rPr>
        <w:t>，按照</w:t>
      </w:r>
      <w:r>
        <w:rPr>
          <w:rFonts w:ascii="方正仿宋_GBK" w:eastAsia="方正仿宋_GBK"/>
          <w:sz w:val="32"/>
          <w:szCs w:val="32"/>
        </w:rPr>
        <w:t>清理规范津补贴工作</w:t>
      </w:r>
      <w:r>
        <w:rPr>
          <w:rFonts w:hint="eastAsia" w:ascii="方正仿宋_GBK" w:eastAsia="方正仿宋_GBK"/>
          <w:sz w:val="32"/>
          <w:szCs w:val="32"/>
        </w:rPr>
        <w:t>要求规范在职人员市内</w:t>
      </w:r>
      <w:r>
        <w:rPr>
          <w:rFonts w:ascii="方正仿宋_GBK" w:eastAsia="方正仿宋_GBK"/>
          <w:sz w:val="32"/>
          <w:szCs w:val="32"/>
        </w:rPr>
        <w:t>差旅</w:t>
      </w:r>
      <w:r>
        <w:rPr>
          <w:rFonts w:hint="eastAsia" w:ascii="方正仿宋_GBK" w:eastAsia="方正仿宋_GBK"/>
          <w:sz w:val="32"/>
          <w:szCs w:val="32"/>
        </w:rPr>
        <w:t>和</w:t>
      </w:r>
      <w:r>
        <w:rPr>
          <w:rFonts w:ascii="方正仿宋_GBK" w:eastAsia="方正仿宋_GBK"/>
          <w:sz w:val="32"/>
          <w:szCs w:val="32"/>
        </w:rPr>
        <w:t>其他交通费用</w:t>
      </w:r>
      <w:r>
        <w:rPr>
          <w:rFonts w:hint="eastAsia" w:ascii="方正仿宋_GBK" w:eastAsia="方正仿宋_GBK"/>
          <w:sz w:val="32"/>
          <w:szCs w:val="32"/>
        </w:rPr>
        <w:t>支出, 减少分局报废更新执勤执法用车数量</w:t>
      </w:r>
      <w:r>
        <w:rPr>
          <w:rFonts w:ascii="方正仿宋_GBK" w:eastAsia="方正仿宋_GBK"/>
          <w:sz w:val="32"/>
          <w:szCs w:val="32"/>
        </w:rPr>
        <w:t>。</w:t>
      </w:r>
    </w:p>
    <w:p w14:paraId="5EB5E837">
      <w:pPr>
        <w:spacing w:line="560" w:lineRule="exact"/>
        <w:ind w:firstLine="643" w:firstLineChars="200"/>
        <w:rPr>
          <w:rFonts w:ascii="方正楷体_GBK" w:eastAsia="方正楷体_GBK"/>
          <w:b/>
          <w:bCs/>
          <w:sz w:val="32"/>
          <w:szCs w:val="32"/>
        </w:rPr>
      </w:pPr>
      <w:r>
        <w:rPr>
          <w:rFonts w:hint="eastAsia" w:ascii="方正楷体_GBK" w:eastAsia="方正楷体_GBK"/>
          <w:b/>
          <w:bCs/>
          <w:sz w:val="32"/>
          <w:szCs w:val="32"/>
        </w:rPr>
        <w:t>（三）国有资产占用情况说明</w:t>
      </w:r>
    </w:p>
    <w:p w14:paraId="2D8D8DB3">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截至2022年12月31日，本部门共有车辆196辆，其中，副部（省）级及以上领导用车0辆、主要领导干部用车0辆、机要通信用车0辆、应急保障用车0辆、执法执勤用车157辆，特种专业技术用车39辆，离退休干部用车0辆，其他用车0辆。单价100万元（含）以上设备（不含车辆）</w:t>
      </w:r>
      <w:r>
        <w:rPr>
          <w:rFonts w:ascii="方正仿宋_GBK" w:eastAsia="方正仿宋_GBK"/>
          <w:sz w:val="32"/>
          <w:szCs w:val="32"/>
        </w:rPr>
        <w:t>9</w:t>
      </w:r>
      <w:r>
        <w:rPr>
          <w:rFonts w:hint="eastAsia" w:ascii="方正仿宋_GBK" w:eastAsia="方正仿宋_GBK"/>
          <w:sz w:val="32"/>
          <w:szCs w:val="32"/>
        </w:rPr>
        <w:t>台（套）。</w:t>
      </w:r>
    </w:p>
    <w:p w14:paraId="11D4EC6D">
      <w:pPr>
        <w:spacing w:line="560" w:lineRule="exact"/>
        <w:ind w:firstLine="645"/>
        <w:rPr>
          <w:rFonts w:ascii="方正仿宋_GBK" w:eastAsia="方正仿宋_GBK"/>
          <w:sz w:val="32"/>
          <w:szCs w:val="32"/>
        </w:rPr>
      </w:pPr>
      <w:r>
        <w:rPr>
          <w:rFonts w:ascii="方正楷体_GBK" w:eastAsia="方正楷体_GBK"/>
          <w:b/>
          <w:bCs/>
          <w:sz w:val="32"/>
          <w:szCs w:val="32"/>
        </w:rPr>
        <w:t>（四）政府采购支出情况说明</w:t>
      </w:r>
    </w:p>
    <w:p w14:paraId="2BAFAA1B">
      <w:pPr>
        <w:spacing w:line="560" w:lineRule="exact"/>
        <w:ind w:firstLine="645"/>
        <w:rPr>
          <w:rFonts w:ascii="方正仿宋_GBK" w:eastAsia="方正仿宋_GBK"/>
          <w:sz w:val="32"/>
          <w:szCs w:val="32"/>
        </w:rPr>
      </w:pPr>
      <w:r>
        <w:rPr>
          <w:rFonts w:hint="eastAsia" w:ascii="方正仿宋_GBK" w:eastAsia="方正仿宋_GBK"/>
          <w:sz w:val="32"/>
          <w:szCs w:val="32"/>
        </w:rPr>
        <w:t>2022年度本部门政府采购支出总额3,617.23万元，其中：政府采购货物支出933.77万元、政府采购工程支出176.5万元、政府采购服务支出2,506.96万元。授予中小企业合同金额2,237万元，占政府采购支出总额的61.8%，其中：授予小微企业合同金额1,112.84万元，占政府采购支出总额的30.8%。</w:t>
      </w:r>
      <w:r>
        <w:rPr>
          <w:rFonts w:ascii="方正仿宋_GBK" w:eastAsia="方正仿宋_GBK"/>
          <w:sz w:val="32"/>
          <w:szCs w:val="32"/>
        </w:rPr>
        <w:t>主要用于采购</w:t>
      </w:r>
      <w:r>
        <w:rPr>
          <w:rFonts w:hint="eastAsia" w:ascii="方正仿宋_GBK" w:eastAsia="方正仿宋_GBK"/>
          <w:sz w:val="32"/>
          <w:szCs w:val="32"/>
        </w:rPr>
        <w:t>分局运行所需的分局服务器托管服务、警用数字集群（</w:t>
      </w:r>
      <w:r>
        <w:rPr>
          <w:rFonts w:ascii="方正仿宋_GBK" w:eastAsia="方正仿宋_GBK"/>
          <w:sz w:val="32"/>
          <w:szCs w:val="32"/>
        </w:rPr>
        <w:t>PDT）终端鉴权加密服务</w:t>
      </w:r>
      <w:r>
        <w:rPr>
          <w:rFonts w:hint="eastAsia" w:ascii="方正仿宋_GBK" w:eastAsia="方正仿宋_GBK"/>
          <w:sz w:val="32"/>
          <w:szCs w:val="32"/>
        </w:rPr>
        <w:t>、移动警务数据服务、驻外所队互联网链路租用、情指勤舆一体化指挥平台、特种专业技术车辆及执法执勤车辆、公安业务宣传</w:t>
      </w:r>
      <w:r>
        <w:rPr>
          <w:rFonts w:ascii="方正仿宋_GBK" w:eastAsia="方正仿宋_GBK"/>
          <w:sz w:val="32"/>
          <w:szCs w:val="32"/>
        </w:rPr>
        <w:t>印刷及</w:t>
      </w:r>
      <w:r>
        <w:rPr>
          <w:rFonts w:hint="eastAsia" w:ascii="方正仿宋_GBK" w:eastAsia="方正仿宋_GBK"/>
          <w:sz w:val="32"/>
          <w:szCs w:val="32"/>
        </w:rPr>
        <w:t>视频制作、基层单位食堂服务等。</w:t>
      </w:r>
    </w:p>
    <w:p w14:paraId="2098C301">
      <w:pPr>
        <w:spacing w:line="560" w:lineRule="exact"/>
        <w:ind w:firstLine="640" w:firstLineChars="200"/>
        <w:rPr>
          <w:rFonts w:ascii="方正黑体_GBK" w:eastAsia="方正黑体_GBK"/>
          <w:sz w:val="32"/>
          <w:szCs w:val="32"/>
        </w:rPr>
      </w:pPr>
      <w:r>
        <w:rPr>
          <w:rFonts w:hint="eastAsia" w:ascii="方正黑体_GBK" w:eastAsia="方正黑体_GBK"/>
          <w:bCs/>
          <w:sz w:val="32"/>
          <w:szCs w:val="32"/>
        </w:rPr>
        <w:t>五、预算绩效管理情况说明</w:t>
      </w:r>
    </w:p>
    <w:p w14:paraId="570B5318">
      <w:pPr>
        <w:spacing w:line="560" w:lineRule="exact"/>
        <w:ind w:firstLine="643" w:firstLineChars="200"/>
        <w:rPr>
          <w:rFonts w:ascii="方正楷体_GBK" w:eastAsia="方正楷体_GBK"/>
          <w:sz w:val="32"/>
          <w:szCs w:val="32"/>
        </w:rPr>
      </w:pPr>
      <w:r>
        <w:rPr>
          <w:rFonts w:hint="eastAsia" w:ascii="方正楷体_GBK" w:eastAsia="方正楷体_GBK"/>
          <w:b/>
          <w:bCs/>
          <w:sz w:val="32"/>
          <w:szCs w:val="32"/>
        </w:rPr>
        <w:t>（一）单位自评情况</w:t>
      </w:r>
    </w:p>
    <w:p w14:paraId="00387EEA">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根据预算绩效管理要求，我局对部门整体和</w:t>
      </w:r>
      <w:r>
        <w:rPr>
          <w:rFonts w:ascii="方正仿宋_GBK" w:eastAsia="方正仿宋_GBK"/>
          <w:sz w:val="32"/>
          <w:szCs w:val="32"/>
        </w:rPr>
        <w:t>14</w:t>
      </w:r>
      <w:r>
        <w:rPr>
          <w:rFonts w:hint="eastAsia" w:ascii="方正仿宋_GBK" w:eastAsia="方正仿宋_GBK"/>
          <w:sz w:val="32"/>
          <w:szCs w:val="32"/>
        </w:rPr>
        <w:t>个一级项目开展了绩效自评。其中，以填报目标自评表形式开展自评</w:t>
      </w:r>
      <w:r>
        <w:rPr>
          <w:rFonts w:ascii="方正仿宋_GBK" w:eastAsia="方正仿宋_GBK"/>
          <w:sz w:val="32"/>
          <w:szCs w:val="32"/>
        </w:rPr>
        <w:t>14</w:t>
      </w:r>
      <w:r>
        <w:rPr>
          <w:rFonts w:hint="eastAsia" w:ascii="方正仿宋_GBK" w:eastAsia="方正仿宋_GBK"/>
          <w:sz w:val="32"/>
          <w:szCs w:val="32"/>
        </w:rPr>
        <w:t>项，涉及资金50,136.84</w:t>
      </w:r>
      <w:r>
        <w:rPr>
          <w:rFonts w:ascii="方正仿宋_GBK" w:eastAsia="方正仿宋_GBK"/>
          <w:sz w:val="32"/>
          <w:szCs w:val="32"/>
        </w:rPr>
        <w:t>万元</w:t>
      </w:r>
      <w:r>
        <w:rPr>
          <w:rFonts w:hint="eastAsia" w:ascii="方正仿宋_GBK" w:eastAsia="方正仿宋_GBK"/>
          <w:sz w:val="32"/>
          <w:szCs w:val="32"/>
        </w:rPr>
        <w:t>。</w:t>
      </w:r>
    </w:p>
    <w:p w14:paraId="4A174417">
      <w:pPr>
        <w:spacing w:line="560" w:lineRule="exact"/>
        <w:ind w:firstLine="643" w:firstLineChars="200"/>
        <w:rPr>
          <w:rFonts w:ascii="方正楷体_GBK" w:eastAsia="方正楷体_GBK"/>
          <w:sz w:val="32"/>
          <w:szCs w:val="32"/>
        </w:rPr>
      </w:pPr>
      <w:r>
        <w:rPr>
          <w:rFonts w:hint="eastAsia" w:ascii="方正楷体_GBK" w:eastAsia="方正楷体_GBK"/>
          <w:b/>
          <w:bCs/>
          <w:sz w:val="32"/>
          <w:szCs w:val="32"/>
        </w:rPr>
        <w:t>（二）绩效自评结果</w:t>
      </w:r>
    </w:p>
    <w:p w14:paraId="0934DE55">
      <w:pPr>
        <w:spacing w:line="560" w:lineRule="exact"/>
        <w:ind w:firstLine="643" w:firstLineChars="200"/>
        <w:rPr>
          <w:rFonts w:ascii="方正仿宋_GBK" w:eastAsia="方正仿宋_GBK"/>
          <w:b/>
          <w:bCs/>
          <w:sz w:val="32"/>
          <w:szCs w:val="32"/>
        </w:rPr>
      </w:pPr>
      <w:r>
        <w:rPr>
          <w:rFonts w:hint="eastAsia" w:ascii="方正仿宋_GBK" w:eastAsia="方正仿宋_GBK"/>
          <w:b/>
          <w:bCs/>
          <w:sz w:val="32"/>
          <w:szCs w:val="32"/>
        </w:rPr>
        <w:t>1.</w:t>
      </w:r>
      <w:r>
        <w:rPr>
          <w:rFonts w:ascii="方正仿宋_GBK" w:eastAsia="方正仿宋_GBK"/>
          <w:b/>
          <w:bCs/>
          <w:sz w:val="32"/>
          <w:szCs w:val="32"/>
        </w:rPr>
        <w:t>绩效目标自评表</w:t>
      </w:r>
    </w:p>
    <w:tbl>
      <w:tblPr>
        <w:tblStyle w:val="5"/>
        <w:tblpPr w:leftFromText="180" w:rightFromText="180" w:vertAnchor="text" w:horzAnchor="margin" w:tblpY="25"/>
        <w:tblW w:w="8897" w:type="dxa"/>
        <w:tblInd w:w="0" w:type="dxa"/>
        <w:tblLayout w:type="fixed"/>
        <w:tblCellMar>
          <w:top w:w="0" w:type="dxa"/>
          <w:left w:w="108" w:type="dxa"/>
          <w:bottom w:w="0" w:type="dxa"/>
          <w:right w:w="108" w:type="dxa"/>
        </w:tblCellMar>
      </w:tblPr>
      <w:tblGrid>
        <w:gridCol w:w="658"/>
        <w:gridCol w:w="1293"/>
        <w:gridCol w:w="709"/>
        <w:gridCol w:w="850"/>
        <w:gridCol w:w="851"/>
        <w:gridCol w:w="709"/>
        <w:gridCol w:w="992"/>
        <w:gridCol w:w="392"/>
        <w:gridCol w:w="742"/>
        <w:gridCol w:w="425"/>
        <w:gridCol w:w="1276"/>
      </w:tblGrid>
      <w:tr w14:paraId="62AB6107">
        <w:tblPrEx>
          <w:tblCellMar>
            <w:top w:w="0" w:type="dxa"/>
            <w:left w:w="108" w:type="dxa"/>
            <w:bottom w:w="0" w:type="dxa"/>
            <w:right w:w="108" w:type="dxa"/>
          </w:tblCellMar>
        </w:tblPrEx>
        <w:trPr>
          <w:trHeight w:val="570" w:hRule="atLeast"/>
        </w:trPr>
        <w:tc>
          <w:tcPr>
            <w:tcW w:w="8897" w:type="dxa"/>
            <w:gridSpan w:val="11"/>
            <w:tcBorders>
              <w:top w:val="nil"/>
              <w:left w:val="nil"/>
              <w:bottom w:val="nil"/>
              <w:right w:val="nil"/>
            </w:tcBorders>
            <w:vAlign w:val="center"/>
          </w:tcPr>
          <w:p w14:paraId="2F80093A">
            <w:pPr>
              <w:widowControl/>
              <w:jc w:val="center"/>
              <w:textAlignment w:val="center"/>
              <w:rPr>
                <w:rFonts w:hint="eastAsia" w:ascii="方正小标宋_GBK" w:hAnsi="方正小标宋_GBK" w:eastAsia="方正小标宋_GBK" w:cs="方正小标宋_GBK"/>
                <w:color w:val="000000"/>
                <w:sz w:val="32"/>
                <w:szCs w:val="32"/>
              </w:rPr>
            </w:pPr>
            <w:r>
              <w:rPr>
                <w:rFonts w:hint="eastAsia" w:ascii="方正小标宋_GBK" w:hAnsi="方正小标宋_GBK" w:eastAsia="方正小标宋_GBK" w:cs="方正小标宋_GBK"/>
                <w:color w:val="000000"/>
                <w:kern w:val="0"/>
                <w:sz w:val="32"/>
                <w:szCs w:val="32"/>
                <w:lang w:bidi="ar"/>
              </w:rPr>
              <w:t>重庆市公安局高新区分局2022年度部门整体绩效自评表</w:t>
            </w:r>
          </w:p>
        </w:tc>
      </w:tr>
      <w:tr w14:paraId="5FCB9D8A">
        <w:tblPrEx>
          <w:tblCellMar>
            <w:top w:w="0" w:type="dxa"/>
            <w:left w:w="108" w:type="dxa"/>
            <w:bottom w:w="0" w:type="dxa"/>
            <w:right w:w="108" w:type="dxa"/>
          </w:tblCellMar>
        </w:tblPrEx>
        <w:trPr>
          <w:trHeight w:val="70" w:hRule="atLeast"/>
        </w:trPr>
        <w:tc>
          <w:tcPr>
            <w:tcW w:w="658" w:type="dxa"/>
            <w:tcBorders>
              <w:top w:val="single" w:color="000000" w:sz="4" w:space="0"/>
              <w:left w:val="single" w:color="000000" w:sz="4" w:space="0"/>
              <w:bottom w:val="single" w:color="000000" w:sz="4" w:space="0"/>
              <w:right w:val="single" w:color="000000" w:sz="4" w:space="0"/>
            </w:tcBorders>
            <w:vAlign w:val="center"/>
          </w:tcPr>
          <w:p w14:paraId="45F96441">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主管部门</w:t>
            </w:r>
          </w:p>
        </w:tc>
        <w:tc>
          <w:tcPr>
            <w:tcW w:w="1293" w:type="dxa"/>
            <w:tcBorders>
              <w:top w:val="single" w:color="000000" w:sz="4" w:space="0"/>
              <w:left w:val="single" w:color="000000" w:sz="4" w:space="0"/>
              <w:bottom w:val="single" w:color="000000" w:sz="4" w:space="0"/>
              <w:right w:val="single" w:color="000000" w:sz="4" w:space="0"/>
            </w:tcBorders>
            <w:vAlign w:val="center"/>
          </w:tcPr>
          <w:p w14:paraId="3CD6D209">
            <w:pP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sz w:val="18"/>
                <w:szCs w:val="18"/>
              </w:rPr>
              <w:t>重庆市公安局高新区分局</w:t>
            </w:r>
          </w:p>
        </w:tc>
        <w:tc>
          <w:tcPr>
            <w:tcW w:w="709" w:type="dxa"/>
            <w:tcBorders>
              <w:top w:val="single" w:color="000000" w:sz="4" w:space="0"/>
              <w:left w:val="single" w:color="000000" w:sz="4" w:space="0"/>
              <w:bottom w:val="single" w:color="000000" w:sz="4" w:space="0"/>
              <w:right w:val="single" w:color="000000" w:sz="4" w:space="0"/>
            </w:tcBorders>
            <w:vAlign w:val="center"/>
          </w:tcPr>
          <w:p w14:paraId="1BADCFD9">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部门</w:t>
            </w:r>
            <w:r>
              <w:rPr>
                <w:rFonts w:hint="eastAsia" w:ascii="方正仿宋_GBK" w:hAnsi="方正仿宋_GBK" w:eastAsia="方正仿宋_GBK" w:cs="方正仿宋_GBK"/>
                <w:color w:val="000000"/>
                <w:kern w:val="0"/>
                <w:sz w:val="18"/>
                <w:szCs w:val="18"/>
                <w:lang w:bidi="ar"/>
              </w:rPr>
              <w:br w:type="textWrapping"/>
            </w:r>
            <w:r>
              <w:rPr>
                <w:rFonts w:hint="eastAsia" w:ascii="方正仿宋_GBK" w:hAnsi="方正仿宋_GBK" w:eastAsia="方正仿宋_GBK" w:cs="方正仿宋_GBK"/>
                <w:color w:val="000000"/>
                <w:kern w:val="0"/>
                <w:sz w:val="18"/>
                <w:szCs w:val="18"/>
                <w:lang w:bidi="ar"/>
              </w:rPr>
              <w:t>联系人</w:t>
            </w:r>
          </w:p>
        </w:tc>
        <w:tc>
          <w:tcPr>
            <w:tcW w:w="850" w:type="dxa"/>
            <w:tcBorders>
              <w:top w:val="single" w:color="000000" w:sz="4" w:space="0"/>
              <w:left w:val="single" w:color="000000" w:sz="4" w:space="0"/>
              <w:bottom w:val="single" w:color="000000" w:sz="4" w:space="0"/>
              <w:right w:val="single" w:color="000000" w:sz="4" w:space="0"/>
            </w:tcBorders>
            <w:noWrap/>
            <w:vAlign w:val="center"/>
          </w:tcPr>
          <w:p w14:paraId="3F17F8DC">
            <w:pPr>
              <w:jc w:val="center"/>
              <w:rPr>
                <w:rFonts w:hint="eastAsia" w:ascii="方正仿宋_GBK" w:hAnsi="宋体" w:eastAsia="方正仿宋_GBK" w:cs="宋体"/>
                <w:color w:val="000000"/>
                <w:sz w:val="18"/>
                <w:szCs w:val="18"/>
              </w:rPr>
            </w:pPr>
            <w:r>
              <w:rPr>
                <w:rFonts w:hint="eastAsia" w:ascii="方正仿宋_GBK" w:hAnsi="宋体" w:eastAsia="方正仿宋_GBK" w:cs="宋体"/>
                <w:color w:val="000000"/>
                <w:sz w:val="18"/>
                <w:szCs w:val="18"/>
              </w:rPr>
              <w:t>曹长香</w:t>
            </w:r>
          </w:p>
        </w:tc>
        <w:tc>
          <w:tcPr>
            <w:tcW w:w="1560" w:type="dxa"/>
            <w:gridSpan w:val="2"/>
            <w:tcBorders>
              <w:top w:val="single" w:color="000000" w:sz="4" w:space="0"/>
              <w:left w:val="single" w:color="000000" w:sz="4" w:space="0"/>
              <w:bottom w:val="single" w:color="000000" w:sz="4" w:space="0"/>
              <w:right w:val="single" w:color="000000" w:sz="4" w:space="0"/>
            </w:tcBorders>
            <w:vAlign w:val="center"/>
          </w:tcPr>
          <w:p w14:paraId="2C84CBD8">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联系电话</w:t>
            </w:r>
          </w:p>
        </w:tc>
        <w:tc>
          <w:tcPr>
            <w:tcW w:w="1384" w:type="dxa"/>
            <w:gridSpan w:val="2"/>
            <w:tcBorders>
              <w:top w:val="single" w:color="000000" w:sz="4" w:space="0"/>
              <w:left w:val="single" w:color="000000" w:sz="4" w:space="0"/>
              <w:bottom w:val="single" w:color="000000" w:sz="4" w:space="0"/>
              <w:right w:val="single" w:color="000000" w:sz="4" w:space="0"/>
            </w:tcBorders>
            <w:noWrap/>
            <w:vAlign w:val="center"/>
          </w:tcPr>
          <w:p w14:paraId="58AA391A">
            <w:pPr>
              <w:jc w:val="center"/>
              <w:rPr>
                <w:rFonts w:hint="eastAsia" w:ascii="方正仿宋_GBK" w:hAnsi="宋体" w:eastAsia="方正仿宋_GBK" w:cs="宋体"/>
                <w:color w:val="000000"/>
                <w:sz w:val="18"/>
                <w:szCs w:val="18"/>
              </w:rPr>
            </w:pPr>
            <w:r>
              <w:rPr>
                <w:rFonts w:hint="eastAsia" w:ascii="方正仿宋_GBK" w:hAnsi="宋体" w:eastAsia="方正仿宋_GBK" w:cs="宋体"/>
                <w:color w:val="000000"/>
                <w:sz w:val="18"/>
                <w:szCs w:val="18"/>
              </w:rPr>
              <w:t>68378051</w:t>
            </w:r>
          </w:p>
        </w:tc>
        <w:tc>
          <w:tcPr>
            <w:tcW w:w="1167" w:type="dxa"/>
            <w:gridSpan w:val="2"/>
            <w:tcBorders>
              <w:top w:val="single" w:color="000000" w:sz="4" w:space="0"/>
              <w:left w:val="single" w:color="000000" w:sz="4" w:space="0"/>
              <w:bottom w:val="single" w:color="000000" w:sz="4" w:space="0"/>
              <w:right w:val="single" w:color="000000" w:sz="4" w:space="0"/>
            </w:tcBorders>
            <w:vAlign w:val="center"/>
          </w:tcPr>
          <w:p w14:paraId="60E0EE55">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自评总分</w:t>
            </w:r>
            <w:r>
              <w:rPr>
                <w:rFonts w:hint="eastAsia" w:ascii="方正仿宋_GBK" w:hAnsi="方正仿宋_GBK" w:eastAsia="方正仿宋_GBK" w:cs="方正仿宋_GBK"/>
                <w:color w:val="000000"/>
                <w:kern w:val="0"/>
                <w:sz w:val="18"/>
                <w:szCs w:val="18"/>
                <w:lang w:bidi="ar"/>
              </w:rPr>
              <w:br w:type="textWrapping"/>
            </w:r>
            <w:r>
              <w:rPr>
                <w:rFonts w:hint="eastAsia" w:ascii="方正仿宋_GBK" w:hAnsi="方正仿宋_GBK" w:eastAsia="方正仿宋_GBK" w:cs="方正仿宋_GBK"/>
                <w:color w:val="000000"/>
                <w:kern w:val="0"/>
                <w:sz w:val="18"/>
                <w:szCs w:val="18"/>
                <w:lang w:bidi="ar"/>
              </w:rPr>
              <w:t>（分）</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490D9471">
            <w:pPr>
              <w:jc w:val="center"/>
              <w:rPr>
                <w:rFonts w:hint="eastAsia" w:ascii="方正仿宋_GBK" w:hAnsi="宋体" w:eastAsia="方正仿宋_GBK" w:cs="宋体"/>
                <w:color w:val="000000"/>
                <w:sz w:val="18"/>
                <w:szCs w:val="18"/>
              </w:rPr>
            </w:pPr>
            <w:r>
              <w:rPr>
                <w:rFonts w:hint="eastAsia" w:ascii="方正仿宋_GBK" w:hAnsi="宋体" w:eastAsia="方正仿宋_GBK" w:cs="宋体"/>
                <w:color w:val="000000"/>
                <w:sz w:val="18"/>
                <w:szCs w:val="18"/>
              </w:rPr>
              <w:t>99.55</w:t>
            </w:r>
          </w:p>
        </w:tc>
      </w:tr>
      <w:tr w14:paraId="23B65FD3">
        <w:tblPrEx>
          <w:tblCellMar>
            <w:top w:w="0" w:type="dxa"/>
            <w:left w:w="108" w:type="dxa"/>
            <w:bottom w:w="0" w:type="dxa"/>
            <w:right w:w="108" w:type="dxa"/>
          </w:tblCellMar>
        </w:tblPrEx>
        <w:trPr>
          <w:trHeight w:val="554" w:hRule="atLeast"/>
        </w:trPr>
        <w:tc>
          <w:tcPr>
            <w:tcW w:w="658" w:type="dxa"/>
            <w:vMerge w:val="restart"/>
            <w:tcBorders>
              <w:top w:val="single" w:color="000000" w:sz="4" w:space="0"/>
              <w:left w:val="single" w:color="000000" w:sz="4" w:space="0"/>
              <w:bottom w:val="single" w:color="000000" w:sz="4" w:space="0"/>
              <w:right w:val="single" w:color="000000" w:sz="4" w:space="0"/>
            </w:tcBorders>
            <w:vAlign w:val="center"/>
          </w:tcPr>
          <w:p w14:paraId="4885C86B">
            <w:pPr>
              <w:widowControl/>
              <w:jc w:val="center"/>
              <w:textAlignment w:val="center"/>
              <w:rPr>
                <w:rFonts w:hint="eastAsia" w:ascii="方正仿宋_GBK" w:hAnsi="方正仿宋_GBK" w:eastAsia="方正仿宋_GBK" w:cs="方正仿宋_GBK"/>
                <w:color w:val="000000"/>
                <w:kern w:val="0"/>
                <w:sz w:val="18"/>
                <w:szCs w:val="18"/>
                <w:lang w:bidi="ar"/>
              </w:rPr>
            </w:pPr>
          </w:p>
          <w:p w14:paraId="25ADEE46">
            <w:pPr>
              <w:widowControl/>
              <w:jc w:val="center"/>
              <w:textAlignment w:val="center"/>
              <w:rPr>
                <w:rFonts w:hint="eastAsia" w:ascii="方正仿宋_GBK" w:hAnsi="方正仿宋_GBK" w:eastAsia="方正仿宋_GBK" w:cs="方正仿宋_GBK"/>
                <w:color w:val="000000"/>
                <w:kern w:val="0"/>
                <w:sz w:val="18"/>
                <w:szCs w:val="18"/>
                <w:lang w:bidi="ar"/>
              </w:rPr>
            </w:pPr>
          </w:p>
          <w:p w14:paraId="2CE54E79">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当年绩效</w:t>
            </w:r>
            <w:r>
              <w:rPr>
                <w:rFonts w:hint="eastAsia" w:ascii="方正仿宋_GBK" w:hAnsi="方正仿宋_GBK" w:eastAsia="方正仿宋_GBK" w:cs="方正仿宋_GBK"/>
                <w:color w:val="000000"/>
                <w:kern w:val="0"/>
                <w:sz w:val="18"/>
                <w:szCs w:val="18"/>
                <w:lang w:bidi="ar"/>
              </w:rPr>
              <w:br w:type="textWrapping"/>
            </w:r>
            <w:r>
              <w:rPr>
                <w:rFonts w:hint="eastAsia" w:ascii="方正仿宋_GBK" w:hAnsi="方正仿宋_GBK" w:eastAsia="方正仿宋_GBK" w:cs="方正仿宋_GBK"/>
                <w:color w:val="000000"/>
                <w:kern w:val="0"/>
                <w:sz w:val="18"/>
                <w:szCs w:val="18"/>
                <w:lang w:bidi="ar"/>
              </w:rPr>
              <w:t>目标</w:t>
            </w:r>
          </w:p>
        </w:tc>
        <w:tc>
          <w:tcPr>
            <w:tcW w:w="2002" w:type="dxa"/>
            <w:gridSpan w:val="2"/>
            <w:tcBorders>
              <w:top w:val="single" w:color="000000" w:sz="4" w:space="0"/>
              <w:left w:val="single" w:color="000000" w:sz="4" w:space="0"/>
              <w:bottom w:val="single" w:color="000000" w:sz="4" w:space="0"/>
              <w:right w:val="single" w:color="000000" w:sz="4" w:space="0"/>
            </w:tcBorders>
            <w:vAlign w:val="center"/>
          </w:tcPr>
          <w:p w14:paraId="585FCA5E">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年初绩效目标</w:t>
            </w:r>
          </w:p>
        </w:tc>
        <w:tc>
          <w:tcPr>
            <w:tcW w:w="2410" w:type="dxa"/>
            <w:gridSpan w:val="3"/>
            <w:tcBorders>
              <w:top w:val="single" w:color="000000" w:sz="4" w:space="0"/>
              <w:left w:val="single" w:color="000000" w:sz="4" w:space="0"/>
              <w:bottom w:val="single" w:color="000000" w:sz="4" w:space="0"/>
              <w:right w:val="single" w:color="000000" w:sz="4" w:space="0"/>
            </w:tcBorders>
            <w:vAlign w:val="center"/>
          </w:tcPr>
          <w:p w14:paraId="33D0AB1A">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全年（调整）绩效目标</w:t>
            </w:r>
          </w:p>
        </w:tc>
        <w:tc>
          <w:tcPr>
            <w:tcW w:w="3827" w:type="dxa"/>
            <w:gridSpan w:val="5"/>
            <w:tcBorders>
              <w:top w:val="single" w:color="000000" w:sz="4" w:space="0"/>
              <w:left w:val="single" w:color="000000" w:sz="4" w:space="0"/>
              <w:bottom w:val="single" w:color="000000" w:sz="4" w:space="0"/>
              <w:right w:val="single" w:color="000000" w:sz="4" w:space="0"/>
            </w:tcBorders>
            <w:vAlign w:val="center"/>
          </w:tcPr>
          <w:p w14:paraId="2B9BDFFD">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全年目标实际完成情况</w:t>
            </w:r>
          </w:p>
        </w:tc>
      </w:tr>
      <w:tr w14:paraId="7F1ECADA">
        <w:tblPrEx>
          <w:tblCellMar>
            <w:top w:w="0" w:type="dxa"/>
            <w:left w:w="108" w:type="dxa"/>
            <w:bottom w:w="0" w:type="dxa"/>
            <w:right w:w="108" w:type="dxa"/>
          </w:tblCellMar>
        </w:tblPrEx>
        <w:trPr>
          <w:trHeight w:val="2685" w:hRule="atLeast"/>
        </w:trPr>
        <w:tc>
          <w:tcPr>
            <w:tcW w:w="658" w:type="dxa"/>
            <w:vMerge w:val="continue"/>
            <w:tcBorders>
              <w:top w:val="single" w:color="000000" w:sz="4" w:space="0"/>
              <w:left w:val="single" w:color="000000" w:sz="4" w:space="0"/>
              <w:bottom w:val="single" w:color="000000" w:sz="4" w:space="0"/>
              <w:right w:val="single" w:color="000000" w:sz="4" w:space="0"/>
            </w:tcBorders>
            <w:vAlign w:val="center"/>
          </w:tcPr>
          <w:p w14:paraId="3850E320">
            <w:pPr>
              <w:jc w:val="center"/>
              <w:rPr>
                <w:rFonts w:hint="eastAsia" w:ascii="方正仿宋_GBK" w:hAnsi="方正仿宋_GBK" w:eastAsia="方正仿宋_GBK" w:cs="方正仿宋_GBK"/>
                <w:color w:val="000000"/>
                <w:sz w:val="18"/>
                <w:szCs w:val="18"/>
              </w:rPr>
            </w:pPr>
          </w:p>
        </w:tc>
        <w:tc>
          <w:tcPr>
            <w:tcW w:w="2002" w:type="dxa"/>
            <w:gridSpan w:val="2"/>
            <w:tcBorders>
              <w:top w:val="single" w:color="000000" w:sz="4" w:space="0"/>
              <w:left w:val="single" w:color="000000" w:sz="4" w:space="0"/>
              <w:bottom w:val="single" w:color="000000" w:sz="4" w:space="0"/>
              <w:right w:val="single" w:color="000000" w:sz="4" w:space="0"/>
            </w:tcBorders>
            <w:vAlign w:val="center"/>
          </w:tcPr>
          <w:p w14:paraId="0759627A">
            <w:pP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sz w:val="18"/>
                <w:szCs w:val="18"/>
              </w:rPr>
              <w:t>协调处置重大案件、灾害事故和重大治安保卫工作，打击违法犯罪、维护社会稳定，社会治安更加向好，基层基础更加牢固。</w:t>
            </w:r>
          </w:p>
        </w:tc>
        <w:tc>
          <w:tcPr>
            <w:tcW w:w="2410" w:type="dxa"/>
            <w:gridSpan w:val="3"/>
            <w:tcBorders>
              <w:top w:val="single" w:color="000000" w:sz="4" w:space="0"/>
              <w:left w:val="single" w:color="000000" w:sz="4" w:space="0"/>
              <w:bottom w:val="single" w:color="000000" w:sz="4" w:space="0"/>
              <w:right w:val="single" w:color="000000" w:sz="4" w:space="0"/>
            </w:tcBorders>
            <w:vAlign w:val="center"/>
          </w:tcPr>
          <w:p w14:paraId="3ECAFDB0">
            <w:pPr>
              <w:jc w:val="left"/>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sz w:val="18"/>
                <w:szCs w:val="18"/>
              </w:rPr>
              <w:t>2022年发挥公安机关打击违法犯罪职能，维护社会稳定，保障人民群众生命财产安全；完成全年公安主要业务指标，争取全市公安机关目标管理绩效考核排名居全市前列。</w:t>
            </w:r>
          </w:p>
        </w:tc>
        <w:tc>
          <w:tcPr>
            <w:tcW w:w="3827" w:type="dxa"/>
            <w:gridSpan w:val="5"/>
            <w:tcBorders>
              <w:top w:val="single" w:color="000000" w:sz="4" w:space="0"/>
              <w:left w:val="single" w:color="000000" w:sz="4" w:space="0"/>
              <w:bottom w:val="single" w:color="000000" w:sz="4" w:space="0"/>
              <w:right w:val="single" w:color="000000" w:sz="4" w:space="0"/>
            </w:tcBorders>
            <w:vAlign w:val="center"/>
          </w:tcPr>
          <w:p w14:paraId="0DC26002">
            <w:pPr>
              <w:ind w:left="183" w:leftChars="87"/>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sz w:val="18"/>
                <w:szCs w:val="18"/>
              </w:rPr>
              <w:t>2022年分局已圆满完成</w:t>
            </w:r>
            <w:r>
              <w:rPr>
                <w:rFonts w:hint="eastAsia" w:ascii="方正仿宋_GBK" w:hAnsi="方正仿宋_GBK" w:eastAsia="方正仿宋_GBK" w:cs="方正仿宋_GBK"/>
                <w:color w:val="000000"/>
                <w:sz w:val="18"/>
                <w:szCs w:val="18"/>
                <w:lang w:eastAsia="zh-CN"/>
              </w:rPr>
              <w:t>两会</w:t>
            </w:r>
            <w:r>
              <w:rPr>
                <w:rFonts w:hint="eastAsia" w:ascii="方正仿宋_GBK" w:hAnsi="方正仿宋_GBK" w:eastAsia="方正仿宋_GBK" w:cs="方正仿宋_GBK"/>
                <w:color w:val="000000"/>
                <w:sz w:val="18"/>
                <w:szCs w:val="18"/>
              </w:rPr>
              <w:t>、国庆、党的二十大等重大安保任务，实现了重大刑事治安案件、重大群体性事件、网上重大舆情、较大及以上公共安全事故“零发生”，全市公安机关绩效考评排名主城第5、全市第20。</w:t>
            </w:r>
          </w:p>
        </w:tc>
      </w:tr>
      <w:tr w14:paraId="4EF3E3A8">
        <w:tblPrEx>
          <w:tblCellMar>
            <w:top w:w="0" w:type="dxa"/>
            <w:left w:w="108" w:type="dxa"/>
            <w:bottom w:w="0" w:type="dxa"/>
            <w:right w:w="108" w:type="dxa"/>
          </w:tblCellMar>
        </w:tblPrEx>
        <w:trPr>
          <w:trHeight w:val="672" w:hRule="atLeast"/>
        </w:trPr>
        <w:tc>
          <w:tcPr>
            <w:tcW w:w="658" w:type="dxa"/>
            <w:vMerge w:val="restart"/>
            <w:tcBorders>
              <w:top w:val="single" w:color="000000" w:sz="4" w:space="0"/>
              <w:left w:val="single" w:color="000000" w:sz="4" w:space="0"/>
              <w:bottom w:val="single" w:color="000000" w:sz="4" w:space="0"/>
              <w:right w:val="single" w:color="000000" w:sz="4" w:space="0"/>
            </w:tcBorders>
            <w:textDirection w:val="tbRlV"/>
            <w:vAlign w:val="center"/>
          </w:tcPr>
          <w:p w14:paraId="16933E29">
            <w:pPr>
              <w:widowControl/>
              <w:jc w:val="center"/>
              <w:textAlignment w:val="center"/>
              <w:rPr>
                <w:rFonts w:hint="eastAsia" w:ascii="方正仿宋_GBK" w:hAnsi="方正仿宋_GBK" w:eastAsia="方正仿宋_GBK" w:cs="方正仿宋_GBK"/>
                <w:color w:val="000000"/>
                <w:kern w:val="0"/>
                <w:sz w:val="18"/>
                <w:szCs w:val="18"/>
                <w:lang w:bidi="ar"/>
              </w:rPr>
            </w:pPr>
            <w:r>
              <w:rPr>
                <w:rFonts w:hint="eastAsia" w:ascii="方正仿宋_GBK" w:hAnsi="方正仿宋_GBK" w:eastAsia="方正仿宋_GBK" w:cs="方正仿宋_GBK"/>
                <w:color w:val="000000"/>
                <w:kern w:val="0"/>
                <w:sz w:val="18"/>
                <w:szCs w:val="18"/>
                <w:lang w:bidi="ar"/>
              </w:rPr>
              <w:t>绩效指标</w:t>
            </w:r>
          </w:p>
        </w:tc>
        <w:tc>
          <w:tcPr>
            <w:tcW w:w="1293" w:type="dxa"/>
            <w:tcBorders>
              <w:top w:val="single" w:color="000000" w:sz="4" w:space="0"/>
              <w:left w:val="single" w:color="000000" w:sz="4" w:space="0"/>
              <w:bottom w:val="single" w:color="000000" w:sz="4" w:space="0"/>
              <w:right w:val="single" w:color="000000" w:sz="4" w:space="0"/>
            </w:tcBorders>
            <w:vAlign w:val="center"/>
          </w:tcPr>
          <w:p w14:paraId="71A5AC00">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指标名称</w:t>
            </w:r>
          </w:p>
        </w:tc>
        <w:tc>
          <w:tcPr>
            <w:tcW w:w="709" w:type="dxa"/>
            <w:tcBorders>
              <w:top w:val="single" w:color="000000" w:sz="4" w:space="0"/>
              <w:left w:val="single" w:color="000000" w:sz="4" w:space="0"/>
              <w:bottom w:val="single" w:color="000000" w:sz="4" w:space="0"/>
              <w:right w:val="single" w:color="000000" w:sz="4" w:space="0"/>
            </w:tcBorders>
            <w:vAlign w:val="center"/>
          </w:tcPr>
          <w:p w14:paraId="1990BC86">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计量</w:t>
            </w:r>
            <w:r>
              <w:rPr>
                <w:rFonts w:hint="eastAsia" w:ascii="方正仿宋_GBK" w:hAnsi="方正仿宋_GBK" w:eastAsia="方正仿宋_GBK" w:cs="方正仿宋_GBK"/>
                <w:color w:val="000000"/>
                <w:kern w:val="0"/>
                <w:sz w:val="18"/>
                <w:szCs w:val="18"/>
                <w:lang w:bidi="ar"/>
              </w:rPr>
              <w:br w:type="textWrapping"/>
            </w:r>
            <w:r>
              <w:rPr>
                <w:rFonts w:hint="eastAsia" w:ascii="方正仿宋_GBK" w:hAnsi="方正仿宋_GBK" w:eastAsia="方正仿宋_GBK" w:cs="方正仿宋_GBK"/>
                <w:color w:val="000000"/>
                <w:kern w:val="0"/>
                <w:sz w:val="18"/>
                <w:szCs w:val="18"/>
                <w:lang w:bidi="ar"/>
              </w:rPr>
              <w:t>单位</w:t>
            </w:r>
          </w:p>
        </w:tc>
        <w:tc>
          <w:tcPr>
            <w:tcW w:w="850" w:type="dxa"/>
            <w:tcBorders>
              <w:top w:val="single" w:color="000000" w:sz="4" w:space="0"/>
              <w:left w:val="single" w:color="000000" w:sz="4" w:space="0"/>
              <w:bottom w:val="single" w:color="000000" w:sz="4" w:space="0"/>
              <w:right w:val="single" w:color="000000" w:sz="4" w:space="0"/>
            </w:tcBorders>
            <w:vAlign w:val="center"/>
          </w:tcPr>
          <w:p w14:paraId="256B63F2">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指标</w:t>
            </w:r>
            <w:r>
              <w:rPr>
                <w:rFonts w:hint="eastAsia" w:ascii="方正仿宋_GBK" w:hAnsi="方正仿宋_GBK" w:eastAsia="方正仿宋_GBK" w:cs="方正仿宋_GBK"/>
                <w:color w:val="000000"/>
                <w:kern w:val="0"/>
                <w:sz w:val="18"/>
                <w:szCs w:val="18"/>
                <w:lang w:bidi="ar"/>
              </w:rPr>
              <w:br w:type="textWrapping"/>
            </w:r>
            <w:r>
              <w:rPr>
                <w:rFonts w:hint="eastAsia" w:ascii="方正仿宋_GBK" w:hAnsi="方正仿宋_GBK" w:eastAsia="方正仿宋_GBK" w:cs="方正仿宋_GBK"/>
                <w:color w:val="000000"/>
                <w:kern w:val="0"/>
                <w:sz w:val="18"/>
                <w:szCs w:val="18"/>
                <w:lang w:bidi="ar"/>
              </w:rPr>
              <w:t>性质</w:t>
            </w:r>
          </w:p>
        </w:tc>
        <w:tc>
          <w:tcPr>
            <w:tcW w:w="851" w:type="dxa"/>
            <w:tcBorders>
              <w:top w:val="single" w:color="000000" w:sz="4" w:space="0"/>
              <w:left w:val="single" w:color="000000" w:sz="4" w:space="0"/>
              <w:bottom w:val="single" w:color="000000" w:sz="4" w:space="0"/>
              <w:right w:val="single" w:color="000000" w:sz="4" w:space="0"/>
            </w:tcBorders>
            <w:vAlign w:val="center"/>
          </w:tcPr>
          <w:p w14:paraId="18B7FAD3">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指标值</w:t>
            </w:r>
          </w:p>
        </w:tc>
        <w:tc>
          <w:tcPr>
            <w:tcW w:w="709" w:type="dxa"/>
            <w:tcBorders>
              <w:top w:val="single" w:color="000000" w:sz="4" w:space="0"/>
              <w:left w:val="single" w:color="000000" w:sz="4" w:space="0"/>
              <w:bottom w:val="single" w:color="000000" w:sz="4" w:space="0"/>
              <w:right w:val="single" w:color="000000" w:sz="4" w:space="0"/>
            </w:tcBorders>
            <w:vAlign w:val="center"/>
          </w:tcPr>
          <w:p w14:paraId="23C589E7">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指标权重</w:t>
            </w:r>
            <w:r>
              <w:rPr>
                <w:rFonts w:hint="eastAsia" w:ascii="方正仿宋_GBK" w:hAnsi="方正仿宋_GBK" w:eastAsia="方正仿宋_GBK" w:cs="方正仿宋_GBK"/>
                <w:color w:val="000000"/>
                <w:kern w:val="0"/>
                <w:sz w:val="18"/>
                <w:szCs w:val="18"/>
                <w:lang w:bidi="ar"/>
              </w:rPr>
              <w:br w:type="textWrapping"/>
            </w:r>
            <w:r>
              <w:rPr>
                <w:rFonts w:hint="eastAsia" w:ascii="方正仿宋_GBK" w:hAnsi="方正仿宋_GBK" w:eastAsia="方正仿宋_GBK" w:cs="方正仿宋_GBK"/>
                <w:color w:val="000000"/>
                <w:kern w:val="0"/>
                <w:sz w:val="18"/>
                <w:szCs w:val="18"/>
                <w:lang w:bidi="ar"/>
              </w:rPr>
              <w:t>（分）</w:t>
            </w:r>
          </w:p>
        </w:tc>
        <w:tc>
          <w:tcPr>
            <w:tcW w:w="992" w:type="dxa"/>
            <w:tcBorders>
              <w:top w:val="single" w:color="000000" w:sz="4" w:space="0"/>
              <w:left w:val="single" w:color="000000" w:sz="4" w:space="0"/>
              <w:bottom w:val="single" w:color="000000" w:sz="4" w:space="0"/>
              <w:right w:val="single" w:color="000000" w:sz="4" w:space="0"/>
            </w:tcBorders>
            <w:vAlign w:val="center"/>
          </w:tcPr>
          <w:p w14:paraId="7ED318FC">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全年</w:t>
            </w:r>
            <w:r>
              <w:rPr>
                <w:rFonts w:hint="eastAsia" w:ascii="方正仿宋_GBK" w:hAnsi="方正仿宋_GBK" w:eastAsia="方正仿宋_GBK" w:cs="方正仿宋_GBK"/>
                <w:color w:val="000000"/>
                <w:kern w:val="0"/>
                <w:sz w:val="18"/>
                <w:szCs w:val="18"/>
                <w:lang w:bidi="ar"/>
              </w:rPr>
              <w:br w:type="textWrapping"/>
            </w:r>
            <w:r>
              <w:rPr>
                <w:rFonts w:hint="eastAsia" w:ascii="方正仿宋_GBK" w:hAnsi="方正仿宋_GBK" w:eastAsia="方正仿宋_GBK" w:cs="方正仿宋_GBK"/>
                <w:color w:val="000000"/>
                <w:kern w:val="0"/>
                <w:sz w:val="18"/>
                <w:szCs w:val="18"/>
                <w:lang w:bidi="ar"/>
              </w:rPr>
              <w:t>完成值</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477ECE12">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指标得分（分）</w:t>
            </w:r>
          </w:p>
        </w:tc>
        <w:tc>
          <w:tcPr>
            <w:tcW w:w="1701" w:type="dxa"/>
            <w:gridSpan w:val="2"/>
            <w:tcBorders>
              <w:top w:val="single" w:color="000000" w:sz="4" w:space="0"/>
              <w:left w:val="single" w:color="000000" w:sz="4" w:space="0"/>
              <w:bottom w:val="single" w:color="000000" w:sz="4" w:space="0"/>
              <w:right w:val="single" w:color="000000" w:sz="4" w:space="0"/>
            </w:tcBorders>
            <w:vAlign w:val="center"/>
          </w:tcPr>
          <w:p w14:paraId="53FBBEEC">
            <w:pPr>
              <w:widowControl/>
              <w:jc w:val="center"/>
              <w:textAlignment w:val="center"/>
              <w:rPr>
                <w:rFonts w:hint="eastAsia" w:ascii="方正仿宋_GBK" w:hAnsi="方正仿宋_GBK" w:eastAsia="方正仿宋_GBK" w:cs="方正仿宋_GBK"/>
                <w:color w:val="000000"/>
                <w:sz w:val="18"/>
                <w:szCs w:val="18"/>
              </w:rPr>
            </w:pPr>
            <w:r>
              <w:rPr>
                <w:rFonts w:hint="eastAsia" w:ascii="方正仿宋_GBK" w:hAnsi="方正仿宋_GBK" w:eastAsia="方正仿宋_GBK" w:cs="方正仿宋_GBK"/>
                <w:color w:val="000000"/>
                <w:kern w:val="0"/>
                <w:sz w:val="18"/>
                <w:szCs w:val="18"/>
                <w:lang w:bidi="ar"/>
              </w:rPr>
              <w:t>说明</w:t>
            </w:r>
          </w:p>
        </w:tc>
      </w:tr>
      <w:tr w14:paraId="62687BE9">
        <w:tblPrEx>
          <w:tblCellMar>
            <w:top w:w="0" w:type="dxa"/>
            <w:left w:w="108" w:type="dxa"/>
            <w:bottom w:w="0" w:type="dxa"/>
            <w:right w:w="108" w:type="dxa"/>
          </w:tblCellMar>
        </w:tblPrEx>
        <w:trPr>
          <w:trHeight w:val="610" w:hRule="atLeast"/>
        </w:trPr>
        <w:tc>
          <w:tcPr>
            <w:tcW w:w="65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14:paraId="079795AE">
            <w:pPr>
              <w:jc w:val="center"/>
              <w:rPr>
                <w:rFonts w:hint="eastAsia" w:ascii="方正仿宋_GBK" w:hAnsi="方正仿宋_GBK" w:eastAsia="方正仿宋_GBK" w:cs="方正仿宋_GBK"/>
                <w:color w:val="000000"/>
                <w:sz w:val="18"/>
                <w:szCs w:val="18"/>
              </w:rPr>
            </w:pPr>
          </w:p>
        </w:tc>
        <w:tc>
          <w:tcPr>
            <w:tcW w:w="1293" w:type="dxa"/>
            <w:tcBorders>
              <w:top w:val="single" w:color="000000" w:sz="4" w:space="0"/>
              <w:left w:val="single" w:color="000000" w:sz="4" w:space="0"/>
              <w:bottom w:val="single" w:color="000000" w:sz="4" w:space="0"/>
              <w:right w:val="single" w:color="000000" w:sz="4" w:space="0"/>
            </w:tcBorders>
            <w:vAlign w:val="center"/>
          </w:tcPr>
          <w:p w14:paraId="04B3C69A">
            <w:pPr>
              <w:spacing w:line="240" w:lineRule="exact"/>
              <w:jc w:val="center"/>
              <w:rPr>
                <w:rFonts w:hint="eastAsia" w:ascii="方正仿宋_GBK" w:eastAsia="方正仿宋_GBK"/>
                <w:sz w:val="18"/>
                <w:szCs w:val="18"/>
              </w:rPr>
            </w:pPr>
            <w:r>
              <w:rPr>
                <w:rFonts w:hint="eastAsia" w:ascii="方正仿宋_GBK" w:eastAsia="方正仿宋_GBK"/>
                <w:sz w:val="18"/>
                <w:szCs w:val="18"/>
              </w:rPr>
              <w:t>百起案件移诉数</w:t>
            </w:r>
          </w:p>
        </w:tc>
        <w:tc>
          <w:tcPr>
            <w:tcW w:w="709" w:type="dxa"/>
            <w:tcBorders>
              <w:top w:val="single" w:color="000000" w:sz="4" w:space="0"/>
              <w:left w:val="single" w:color="000000" w:sz="4" w:space="0"/>
              <w:bottom w:val="single" w:color="000000" w:sz="4" w:space="0"/>
              <w:right w:val="single" w:color="000000" w:sz="4" w:space="0"/>
            </w:tcBorders>
            <w:vAlign w:val="center"/>
          </w:tcPr>
          <w:p w14:paraId="26EFAE86">
            <w:pPr>
              <w:jc w:val="center"/>
              <w:rPr>
                <w:rFonts w:hint="eastAsia" w:ascii="方正仿宋_GBK" w:eastAsia="方正仿宋_GBK"/>
                <w:sz w:val="18"/>
                <w:szCs w:val="18"/>
              </w:rPr>
            </w:pPr>
            <w:r>
              <w:rPr>
                <w:rFonts w:hint="eastAsia" w:ascii="方正仿宋_GBK" w:eastAsia="方正仿宋_GBK"/>
                <w:sz w:val="18"/>
                <w:szCs w:val="18"/>
              </w:rPr>
              <w:t>%</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14:paraId="11A494CC">
            <w:pPr>
              <w:widowControl/>
              <w:jc w:val="center"/>
              <w:rPr>
                <w:rFonts w:hint="eastAsia" w:ascii="方正仿宋_GBK" w:eastAsia="方正仿宋_GBK"/>
                <w:color w:val="000000"/>
                <w:sz w:val="18"/>
                <w:szCs w:val="18"/>
              </w:rPr>
            </w:pPr>
            <w:r>
              <w:rPr>
                <w:rFonts w:hint="eastAsia" w:ascii="方正仿宋_GBK" w:eastAsia="方正仿宋_GBK"/>
                <w:color w:val="000000"/>
                <w:sz w:val="18"/>
                <w:szCs w:val="18"/>
              </w:rPr>
              <w:t>≥</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7BA58DCA">
            <w:pPr>
              <w:widowControl/>
              <w:jc w:val="center"/>
              <w:rPr>
                <w:rFonts w:hint="eastAsia" w:ascii="方正仿宋_GBK" w:eastAsia="方正仿宋_GBK"/>
                <w:color w:val="000000"/>
                <w:sz w:val="18"/>
                <w:szCs w:val="18"/>
              </w:rPr>
            </w:pPr>
            <w:r>
              <w:rPr>
                <w:rFonts w:hint="eastAsia" w:ascii="方正仿宋_GBK" w:eastAsia="方正仿宋_GBK"/>
                <w:color w:val="000000"/>
                <w:sz w:val="18"/>
                <w:szCs w:val="18"/>
              </w:rPr>
              <w:t>20</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14:paraId="42448698">
            <w:pPr>
              <w:widowControl/>
              <w:jc w:val="center"/>
              <w:rPr>
                <w:rFonts w:hint="eastAsia" w:ascii="方正仿宋_GBK" w:eastAsia="方正仿宋_GBK"/>
                <w:color w:val="000000"/>
                <w:sz w:val="18"/>
                <w:szCs w:val="18"/>
              </w:rPr>
            </w:pPr>
            <w:r>
              <w:rPr>
                <w:rFonts w:hint="eastAsia" w:ascii="方正仿宋_GBK" w:eastAsia="方正仿宋_GBK"/>
                <w:color w:val="000000"/>
                <w:sz w:val="18"/>
                <w:szCs w:val="18"/>
              </w:rPr>
              <w:t>10</w:t>
            </w:r>
          </w:p>
        </w:tc>
        <w:tc>
          <w:tcPr>
            <w:tcW w:w="992" w:type="dxa"/>
            <w:tcBorders>
              <w:top w:val="single" w:color="000000" w:sz="4" w:space="0"/>
              <w:left w:val="single" w:color="000000" w:sz="4" w:space="0"/>
              <w:bottom w:val="single" w:color="000000" w:sz="4" w:space="0"/>
              <w:right w:val="single" w:color="000000" w:sz="4" w:space="0"/>
            </w:tcBorders>
            <w:vAlign w:val="center"/>
          </w:tcPr>
          <w:p w14:paraId="3B0E685A">
            <w:pPr>
              <w:widowControl/>
              <w:jc w:val="center"/>
              <w:rPr>
                <w:rFonts w:hint="eastAsia" w:ascii="方正仿宋_GBK" w:hAnsi="方正仿宋_GBK" w:eastAsia="方正仿宋_GBK" w:cs="方正仿宋_GBK"/>
                <w:color w:val="000000"/>
                <w:sz w:val="18"/>
                <w:szCs w:val="18"/>
              </w:rPr>
            </w:pPr>
            <w:r>
              <w:rPr>
                <w:rFonts w:hint="eastAsia" w:ascii="方正仿宋_GBK" w:eastAsia="方正仿宋_GBK"/>
                <w:color w:val="000000"/>
                <w:sz w:val="18"/>
                <w:szCs w:val="18"/>
              </w:rPr>
              <w:t>20</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7CC6DCC6">
            <w:pPr>
              <w:widowControl/>
              <w:jc w:val="center"/>
              <w:rPr>
                <w:rFonts w:hint="eastAsia" w:ascii="方正仿宋_GBK" w:hAnsi="方正仿宋_GBK" w:eastAsia="方正仿宋_GBK" w:cs="方正仿宋_GBK"/>
                <w:color w:val="000000"/>
                <w:sz w:val="18"/>
                <w:szCs w:val="18"/>
              </w:rPr>
            </w:pPr>
            <w:r>
              <w:rPr>
                <w:rFonts w:hint="eastAsia" w:ascii="方正仿宋_GBK" w:eastAsia="方正仿宋_GBK"/>
                <w:color w:val="000000"/>
                <w:sz w:val="18"/>
                <w:szCs w:val="18"/>
              </w:rPr>
              <w:t>10</w:t>
            </w:r>
          </w:p>
        </w:tc>
        <w:tc>
          <w:tcPr>
            <w:tcW w:w="1701" w:type="dxa"/>
            <w:gridSpan w:val="2"/>
            <w:tcBorders>
              <w:top w:val="single" w:color="000000" w:sz="4" w:space="0"/>
              <w:left w:val="single" w:color="000000" w:sz="4" w:space="0"/>
              <w:bottom w:val="single" w:color="000000" w:sz="4" w:space="0"/>
              <w:right w:val="single" w:color="000000" w:sz="4" w:space="0"/>
            </w:tcBorders>
            <w:vAlign w:val="center"/>
          </w:tcPr>
          <w:p w14:paraId="27B16C74">
            <w:pPr>
              <w:rPr>
                <w:rFonts w:hint="eastAsia" w:ascii="方正仿宋_GBK" w:hAnsi="宋体" w:eastAsia="方正仿宋_GBK" w:cs="宋体"/>
                <w:color w:val="000000"/>
                <w:sz w:val="18"/>
                <w:szCs w:val="18"/>
              </w:rPr>
            </w:pPr>
          </w:p>
        </w:tc>
      </w:tr>
      <w:tr w14:paraId="029BE2A1">
        <w:tblPrEx>
          <w:tblCellMar>
            <w:top w:w="0" w:type="dxa"/>
            <w:left w:w="108" w:type="dxa"/>
            <w:bottom w:w="0" w:type="dxa"/>
            <w:right w:w="108" w:type="dxa"/>
          </w:tblCellMar>
        </w:tblPrEx>
        <w:trPr>
          <w:trHeight w:val="279" w:hRule="atLeast"/>
        </w:trPr>
        <w:tc>
          <w:tcPr>
            <w:tcW w:w="65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14:paraId="08DDEC6D">
            <w:pPr>
              <w:jc w:val="center"/>
              <w:rPr>
                <w:rFonts w:hint="eastAsia" w:ascii="方正仿宋_GBK" w:hAnsi="方正仿宋_GBK" w:eastAsia="方正仿宋_GBK" w:cs="方正仿宋_GBK"/>
                <w:color w:val="000000"/>
                <w:sz w:val="18"/>
                <w:szCs w:val="18"/>
              </w:rPr>
            </w:pPr>
          </w:p>
        </w:tc>
        <w:tc>
          <w:tcPr>
            <w:tcW w:w="1293" w:type="dxa"/>
            <w:tcBorders>
              <w:top w:val="single" w:color="000000" w:sz="4" w:space="0"/>
              <w:left w:val="single" w:color="000000" w:sz="4" w:space="0"/>
              <w:bottom w:val="single" w:color="000000" w:sz="4" w:space="0"/>
              <w:right w:val="single" w:color="000000" w:sz="4" w:space="0"/>
            </w:tcBorders>
            <w:vAlign w:val="center"/>
          </w:tcPr>
          <w:p w14:paraId="39375393">
            <w:pPr>
              <w:spacing w:line="240" w:lineRule="exact"/>
              <w:jc w:val="center"/>
              <w:rPr>
                <w:rFonts w:hint="eastAsia" w:ascii="方正仿宋_GBK" w:eastAsia="方正仿宋_GBK"/>
                <w:spacing w:val="-4"/>
                <w:sz w:val="18"/>
                <w:szCs w:val="18"/>
              </w:rPr>
            </w:pPr>
            <w:r>
              <w:rPr>
                <w:rFonts w:hint="eastAsia" w:ascii="方正仿宋_GBK" w:eastAsia="方正仿宋_GBK"/>
                <w:spacing w:val="-4"/>
                <w:sz w:val="18"/>
                <w:szCs w:val="18"/>
              </w:rPr>
              <w:t>打击毒品犯罪移送起诉数</w:t>
            </w:r>
          </w:p>
        </w:tc>
        <w:tc>
          <w:tcPr>
            <w:tcW w:w="709" w:type="dxa"/>
            <w:tcBorders>
              <w:top w:val="single" w:color="000000" w:sz="4" w:space="0"/>
              <w:left w:val="single" w:color="000000" w:sz="4" w:space="0"/>
              <w:bottom w:val="single" w:color="000000" w:sz="4" w:space="0"/>
              <w:right w:val="single" w:color="000000" w:sz="4" w:space="0"/>
            </w:tcBorders>
            <w:vAlign w:val="center"/>
          </w:tcPr>
          <w:p w14:paraId="55071303">
            <w:pPr>
              <w:jc w:val="center"/>
              <w:rPr>
                <w:rFonts w:hint="eastAsia" w:ascii="方正仿宋_GBK" w:eastAsia="方正仿宋_GBK"/>
                <w:sz w:val="18"/>
                <w:szCs w:val="18"/>
              </w:rPr>
            </w:pPr>
            <w:r>
              <w:rPr>
                <w:rFonts w:hint="eastAsia" w:ascii="方正仿宋_GBK" w:eastAsia="方正仿宋_GBK"/>
                <w:sz w:val="18"/>
                <w:szCs w:val="18"/>
              </w:rPr>
              <w:t>人</w:t>
            </w:r>
          </w:p>
        </w:tc>
        <w:tc>
          <w:tcPr>
            <w:tcW w:w="850" w:type="dxa"/>
            <w:tcBorders>
              <w:top w:val="nil"/>
              <w:left w:val="single" w:color="auto" w:sz="4" w:space="0"/>
              <w:bottom w:val="single" w:color="auto" w:sz="4" w:space="0"/>
              <w:right w:val="single" w:color="auto" w:sz="4" w:space="0"/>
            </w:tcBorders>
            <w:shd w:val="clear" w:color="auto" w:fill="auto"/>
            <w:vAlign w:val="center"/>
          </w:tcPr>
          <w:p w14:paraId="3A850E78">
            <w:pPr>
              <w:jc w:val="center"/>
              <w:rPr>
                <w:rFonts w:hint="eastAsia" w:ascii="方正仿宋_GBK" w:eastAsia="方正仿宋_GBK"/>
                <w:color w:val="000000"/>
                <w:sz w:val="18"/>
                <w:szCs w:val="18"/>
              </w:rPr>
            </w:pPr>
            <w:r>
              <w:rPr>
                <w:rFonts w:hint="eastAsia" w:ascii="方正仿宋_GBK" w:eastAsia="方正仿宋_GBK"/>
                <w:color w:val="000000"/>
                <w:sz w:val="18"/>
                <w:szCs w:val="18"/>
              </w:rPr>
              <w:t>≥</w:t>
            </w:r>
          </w:p>
        </w:tc>
        <w:tc>
          <w:tcPr>
            <w:tcW w:w="851" w:type="dxa"/>
            <w:tcBorders>
              <w:top w:val="nil"/>
              <w:left w:val="single" w:color="auto" w:sz="4" w:space="0"/>
              <w:bottom w:val="single" w:color="auto" w:sz="4" w:space="0"/>
              <w:right w:val="single" w:color="auto" w:sz="4" w:space="0"/>
            </w:tcBorders>
            <w:shd w:val="clear" w:color="auto" w:fill="auto"/>
            <w:vAlign w:val="center"/>
          </w:tcPr>
          <w:p w14:paraId="7C151DC6">
            <w:pPr>
              <w:jc w:val="center"/>
              <w:rPr>
                <w:rFonts w:hint="eastAsia" w:ascii="方正仿宋_GBK" w:eastAsia="方正仿宋_GBK"/>
                <w:color w:val="000000"/>
                <w:sz w:val="18"/>
                <w:szCs w:val="18"/>
              </w:rPr>
            </w:pPr>
            <w:r>
              <w:rPr>
                <w:rFonts w:hint="eastAsia" w:ascii="方正仿宋_GBK" w:eastAsia="方正仿宋_GBK"/>
                <w:color w:val="000000"/>
                <w:sz w:val="18"/>
                <w:szCs w:val="18"/>
              </w:rPr>
              <w:t>76</w:t>
            </w:r>
          </w:p>
        </w:tc>
        <w:tc>
          <w:tcPr>
            <w:tcW w:w="709" w:type="dxa"/>
            <w:tcBorders>
              <w:top w:val="nil"/>
              <w:left w:val="single" w:color="auto" w:sz="4" w:space="0"/>
              <w:bottom w:val="single" w:color="auto" w:sz="4" w:space="0"/>
              <w:right w:val="single" w:color="auto" w:sz="4" w:space="0"/>
            </w:tcBorders>
            <w:shd w:val="clear" w:color="auto" w:fill="auto"/>
            <w:vAlign w:val="center"/>
          </w:tcPr>
          <w:p w14:paraId="73BBCE69">
            <w:pPr>
              <w:jc w:val="center"/>
              <w:rPr>
                <w:rFonts w:hint="eastAsia" w:ascii="方正仿宋_GBK" w:eastAsia="方正仿宋_GBK"/>
                <w:color w:val="000000"/>
                <w:sz w:val="18"/>
                <w:szCs w:val="18"/>
              </w:rPr>
            </w:pPr>
            <w:r>
              <w:rPr>
                <w:rFonts w:hint="eastAsia" w:ascii="方正仿宋_GBK" w:eastAsia="方正仿宋_GBK"/>
                <w:color w:val="000000"/>
                <w:sz w:val="18"/>
                <w:szCs w:val="18"/>
              </w:rPr>
              <w:t>10</w:t>
            </w:r>
          </w:p>
        </w:tc>
        <w:tc>
          <w:tcPr>
            <w:tcW w:w="992" w:type="dxa"/>
            <w:tcBorders>
              <w:top w:val="single" w:color="000000" w:sz="4" w:space="0"/>
              <w:left w:val="single" w:color="000000" w:sz="4" w:space="0"/>
              <w:bottom w:val="single" w:color="000000" w:sz="4" w:space="0"/>
              <w:right w:val="single" w:color="000000" w:sz="4" w:space="0"/>
            </w:tcBorders>
            <w:vAlign w:val="center"/>
          </w:tcPr>
          <w:p w14:paraId="70547445">
            <w:pPr>
              <w:jc w:val="center"/>
              <w:rPr>
                <w:rFonts w:hint="eastAsia" w:ascii="方正仿宋_GBK" w:hAnsi="方正仿宋_GBK" w:eastAsia="方正仿宋_GBK" w:cs="方正仿宋_GBK"/>
                <w:color w:val="000000"/>
                <w:sz w:val="18"/>
                <w:szCs w:val="18"/>
              </w:rPr>
            </w:pPr>
            <w:r>
              <w:rPr>
                <w:rFonts w:hint="eastAsia" w:ascii="方正仿宋_GBK" w:eastAsia="方正仿宋_GBK"/>
                <w:color w:val="000000"/>
                <w:sz w:val="18"/>
                <w:szCs w:val="18"/>
              </w:rPr>
              <w:t>76</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4E7EFB30">
            <w:pPr>
              <w:jc w:val="center"/>
              <w:rPr>
                <w:rFonts w:hint="eastAsia" w:ascii="方正仿宋_GBK" w:hAnsi="方正仿宋_GBK" w:eastAsia="方正仿宋_GBK" w:cs="方正仿宋_GBK"/>
                <w:color w:val="000000"/>
                <w:sz w:val="18"/>
                <w:szCs w:val="18"/>
              </w:rPr>
            </w:pPr>
            <w:r>
              <w:rPr>
                <w:rFonts w:hint="eastAsia" w:ascii="方正仿宋_GBK" w:eastAsia="方正仿宋_GBK"/>
                <w:color w:val="000000"/>
                <w:sz w:val="18"/>
                <w:szCs w:val="18"/>
              </w:rPr>
              <w:t>10</w:t>
            </w:r>
          </w:p>
        </w:tc>
        <w:tc>
          <w:tcPr>
            <w:tcW w:w="1701" w:type="dxa"/>
            <w:gridSpan w:val="2"/>
            <w:tcBorders>
              <w:top w:val="single" w:color="000000" w:sz="4" w:space="0"/>
              <w:left w:val="single" w:color="000000" w:sz="4" w:space="0"/>
              <w:bottom w:val="single" w:color="000000" w:sz="4" w:space="0"/>
              <w:right w:val="single" w:color="000000" w:sz="4" w:space="0"/>
            </w:tcBorders>
            <w:vAlign w:val="center"/>
          </w:tcPr>
          <w:p w14:paraId="51A59099">
            <w:pPr>
              <w:rPr>
                <w:rFonts w:hint="eastAsia" w:ascii="方正仿宋_GBK" w:hAnsi="宋体" w:eastAsia="方正仿宋_GBK" w:cs="宋体"/>
                <w:color w:val="000000"/>
                <w:sz w:val="18"/>
                <w:szCs w:val="18"/>
              </w:rPr>
            </w:pPr>
          </w:p>
        </w:tc>
      </w:tr>
      <w:tr w14:paraId="7EAC3BC4">
        <w:tblPrEx>
          <w:tblCellMar>
            <w:top w:w="0" w:type="dxa"/>
            <w:left w:w="108" w:type="dxa"/>
            <w:bottom w:w="0" w:type="dxa"/>
            <w:right w:w="108" w:type="dxa"/>
          </w:tblCellMar>
        </w:tblPrEx>
        <w:trPr>
          <w:trHeight w:val="648" w:hRule="atLeast"/>
        </w:trPr>
        <w:tc>
          <w:tcPr>
            <w:tcW w:w="65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14:paraId="5F7DA0CD">
            <w:pPr>
              <w:jc w:val="center"/>
              <w:rPr>
                <w:rFonts w:hint="eastAsia" w:ascii="方正仿宋_GBK" w:hAnsi="方正仿宋_GBK" w:eastAsia="方正仿宋_GBK" w:cs="方正仿宋_GBK"/>
                <w:color w:val="000000"/>
                <w:sz w:val="18"/>
                <w:szCs w:val="18"/>
              </w:rPr>
            </w:pPr>
          </w:p>
        </w:tc>
        <w:tc>
          <w:tcPr>
            <w:tcW w:w="1293" w:type="dxa"/>
            <w:tcBorders>
              <w:top w:val="single" w:color="000000" w:sz="4" w:space="0"/>
              <w:left w:val="single" w:color="000000" w:sz="4" w:space="0"/>
              <w:bottom w:val="single" w:color="000000" w:sz="4" w:space="0"/>
              <w:right w:val="single" w:color="000000" w:sz="4" w:space="0"/>
            </w:tcBorders>
            <w:vAlign w:val="center"/>
          </w:tcPr>
          <w:p w14:paraId="10A0B7CD">
            <w:pPr>
              <w:spacing w:line="240" w:lineRule="exact"/>
              <w:jc w:val="center"/>
              <w:rPr>
                <w:rFonts w:hint="eastAsia" w:ascii="方正仿宋_GBK" w:eastAsia="方正仿宋_GBK"/>
                <w:spacing w:val="-4"/>
                <w:sz w:val="18"/>
                <w:szCs w:val="18"/>
              </w:rPr>
            </w:pPr>
            <w:r>
              <w:rPr>
                <w:rFonts w:hint="eastAsia" w:ascii="方正仿宋_GBK" w:eastAsia="方正仿宋_GBK"/>
                <w:spacing w:val="-4"/>
                <w:sz w:val="18"/>
                <w:szCs w:val="18"/>
              </w:rPr>
              <w:t>打击经济犯罪移送起诉数</w:t>
            </w:r>
          </w:p>
        </w:tc>
        <w:tc>
          <w:tcPr>
            <w:tcW w:w="709" w:type="dxa"/>
            <w:tcBorders>
              <w:top w:val="single" w:color="000000" w:sz="4" w:space="0"/>
              <w:left w:val="single" w:color="000000" w:sz="4" w:space="0"/>
              <w:bottom w:val="single" w:color="000000" w:sz="4" w:space="0"/>
              <w:right w:val="single" w:color="000000" w:sz="4" w:space="0"/>
            </w:tcBorders>
            <w:vAlign w:val="center"/>
          </w:tcPr>
          <w:p w14:paraId="6DB7287D">
            <w:pPr>
              <w:jc w:val="center"/>
              <w:rPr>
                <w:rFonts w:hint="eastAsia" w:ascii="方正仿宋_GBK" w:eastAsia="方正仿宋_GBK"/>
                <w:sz w:val="18"/>
                <w:szCs w:val="18"/>
              </w:rPr>
            </w:pPr>
            <w:r>
              <w:rPr>
                <w:rFonts w:hint="eastAsia" w:ascii="方正仿宋_GBK" w:eastAsia="方正仿宋_GBK"/>
                <w:sz w:val="18"/>
                <w:szCs w:val="18"/>
              </w:rPr>
              <w:t>人</w:t>
            </w:r>
          </w:p>
        </w:tc>
        <w:tc>
          <w:tcPr>
            <w:tcW w:w="850" w:type="dxa"/>
            <w:tcBorders>
              <w:top w:val="nil"/>
              <w:left w:val="single" w:color="auto" w:sz="4" w:space="0"/>
              <w:bottom w:val="single" w:color="auto" w:sz="4" w:space="0"/>
              <w:right w:val="single" w:color="auto" w:sz="4" w:space="0"/>
            </w:tcBorders>
            <w:shd w:val="clear" w:color="auto" w:fill="auto"/>
            <w:vAlign w:val="center"/>
          </w:tcPr>
          <w:p w14:paraId="348137F7">
            <w:pPr>
              <w:jc w:val="center"/>
              <w:rPr>
                <w:rFonts w:hint="eastAsia" w:ascii="方正仿宋_GBK" w:eastAsia="方正仿宋_GBK"/>
                <w:color w:val="000000"/>
                <w:sz w:val="18"/>
                <w:szCs w:val="18"/>
              </w:rPr>
            </w:pPr>
            <w:r>
              <w:rPr>
                <w:rFonts w:hint="eastAsia" w:ascii="方正仿宋_GBK" w:eastAsia="方正仿宋_GBK"/>
                <w:color w:val="000000"/>
                <w:sz w:val="18"/>
                <w:szCs w:val="18"/>
              </w:rPr>
              <w:t>≥</w:t>
            </w:r>
          </w:p>
        </w:tc>
        <w:tc>
          <w:tcPr>
            <w:tcW w:w="851" w:type="dxa"/>
            <w:tcBorders>
              <w:top w:val="nil"/>
              <w:left w:val="single" w:color="auto" w:sz="4" w:space="0"/>
              <w:bottom w:val="single" w:color="auto" w:sz="4" w:space="0"/>
              <w:right w:val="single" w:color="auto" w:sz="4" w:space="0"/>
            </w:tcBorders>
            <w:shd w:val="clear" w:color="auto" w:fill="auto"/>
            <w:vAlign w:val="center"/>
          </w:tcPr>
          <w:p w14:paraId="56C9E3EC">
            <w:pPr>
              <w:jc w:val="center"/>
              <w:rPr>
                <w:rFonts w:hint="eastAsia" w:ascii="方正仿宋_GBK" w:eastAsia="方正仿宋_GBK"/>
                <w:color w:val="000000"/>
                <w:sz w:val="18"/>
                <w:szCs w:val="18"/>
              </w:rPr>
            </w:pPr>
            <w:r>
              <w:rPr>
                <w:rFonts w:hint="eastAsia" w:ascii="方正仿宋_GBK" w:eastAsia="方正仿宋_GBK"/>
                <w:color w:val="000000"/>
                <w:sz w:val="18"/>
                <w:szCs w:val="18"/>
              </w:rPr>
              <w:t>27</w:t>
            </w:r>
          </w:p>
        </w:tc>
        <w:tc>
          <w:tcPr>
            <w:tcW w:w="709" w:type="dxa"/>
            <w:tcBorders>
              <w:top w:val="nil"/>
              <w:left w:val="single" w:color="auto" w:sz="4" w:space="0"/>
              <w:bottom w:val="single" w:color="auto" w:sz="4" w:space="0"/>
              <w:right w:val="single" w:color="auto" w:sz="4" w:space="0"/>
            </w:tcBorders>
            <w:shd w:val="clear" w:color="auto" w:fill="auto"/>
            <w:vAlign w:val="center"/>
          </w:tcPr>
          <w:p w14:paraId="32EEE5AB">
            <w:pPr>
              <w:jc w:val="center"/>
              <w:rPr>
                <w:rFonts w:hint="eastAsia" w:ascii="方正仿宋_GBK" w:eastAsia="方正仿宋_GBK"/>
                <w:color w:val="000000"/>
                <w:sz w:val="18"/>
                <w:szCs w:val="18"/>
              </w:rPr>
            </w:pPr>
            <w:r>
              <w:rPr>
                <w:rFonts w:hint="eastAsia" w:ascii="方正仿宋_GBK" w:eastAsia="方正仿宋_GBK"/>
                <w:color w:val="000000"/>
                <w:sz w:val="18"/>
                <w:szCs w:val="18"/>
              </w:rPr>
              <w:t>10</w:t>
            </w:r>
          </w:p>
        </w:tc>
        <w:tc>
          <w:tcPr>
            <w:tcW w:w="992" w:type="dxa"/>
            <w:tcBorders>
              <w:top w:val="single" w:color="000000" w:sz="4" w:space="0"/>
              <w:left w:val="single" w:color="000000" w:sz="4" w:space="0"/>
              <w:bottom w:val="single" w:color="000000" w:sz="4" w:space="0"/>
              <w:right w:val="single" w:color="000000" w:sz="4" w:space="0"/>
            </w:tcBorders>
            <w:vAlign w:val="center"/>
          </w:tcPr>
          <w:p w14:paraId="3D9DE8AB">
            <w:pPr>
              <w:jc w:val="center"/>
              <w:rPr>
                <w:rFonts w:hint="eastAsia" w:ascii="方正仿宋_GBK" w:hAnsi="方正仿宋_GBK" w:eastAsia="方正仿宋_GBK" w:cs="方正仿宋_GBK"/>
                <w:color w:val="000000"/>
                <w:sz w:val="18"/>
                <w:szCs w:val="18"/>
              </w:rPr>
            </w:pPr>
            <w:r>
              <w:rPr>
                <w:rFonts w:hint="eastAsia" w:ascii="方正仿宋_GBK" w:eastAsia="方正仿宋_GBK"/>
                <w:color w:val="000000"/>
                <w:sz w:val="18"/>
                <w:szCs w:val="18"/>
              </w:rPr>
              <w:t>27</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541CE092">
            <w:pPr>
              <w:jc w:val="center"/>
              <w:rPr>
                <w:rFonts w:hint="eastAsia" w:ascii="方正仿宋_GBK" w:hAnsi="方正仿宋_GBK" w:eastAsia="方正仿宋_GBK" w:cs="方正仿宋_GBK"/>
                <w:color w:val="000000"/>
                <w:sz w:val="18"/>
                <w:szCs w:val="18"/>
              </w:rPr>
            </w:pPr>
            <w:r>
              <w:rPr>
                <w:rFonts w:hint="eastAsia" w:ascii="方正仿宋_GBK" w:eastAsia="方正仿宋_GBK"/>
                <w:color w:val="000000"/>
                <w:sz w:val="18"/>
                <w:szCs w:val="18"/>
              </w:rPr>
              <w:t>10</w:t>
            </w:r>
          </w:p>
        </w:tc>
        <w:tc>
          <w:tcPr>
            <w:tcW w:w="1701" w:type="dxa"/>
            <w:gridSpan w:val="2"/>
            <w:tcBorders>
              <w:top w:val="single" w:color="000000" w:sz="4" w:space="0"/>
              <w:left w:val="single" w:color="000000" w:sz="4" w:space="0"/>
              <w:bottom w:val="single" w:color="000000" w:sz="4" w:space="0"/>
              <w:right w:val="single" w:color="000000" w:sz="4" w:space="0"/>
            </w:tcBorders>
            <w:vAlign w:val="center"/>
          </w:tcPr>
          <w:p w14:paraId="459EB30B">
            <w:pPr>
              <w:rPr>
                <w:rFonts w:hint="eastAsia" w:ascii="方正仿宋_GBK" w:hAnsi="宋体" w:eastAsia="方正仿宋_GBK" w:cs="宋体"/>
                <w:color w:val="000000"/>
                <w:sz w:val="18"/>
                <w:szCs w:val="18"/>
              </w:rPr>
            </w:pPr>
          </w:p>
        </w:tc>
      </w:tr>
      <w:tr w14:paraId="4D8362FD">
        <w:tblPrEx>
          <w:tblCellMar>
            <w:top w:w="0" w:type="dxa"/>
            <w:left w:w="108" w:type="dxa"/>
            <w:bottom w:w="0" w:type="dxa"/>
            <w:right w:w="108" w:type="dxa"/>
          </w:tblCellMar>
        </w:tblPrEx>
        <w:trPr>
          <w:trHeight w:val="648" w:hRule="atLeast"/>
        </w:trPr>
        <w:tc>
          <w:tcPr>
            <w:tcW w:w="65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14:paraId="45F2EC6E">
            <w:pPr>
              <w:jc w:val="center"/>
              <w:rPr>
                <w:rFonts w:hint="eastAsia" w:ascii="方正仿宋_GBK" w:hAnsi="方正仿宋_GBK" w:eastAsia="方正仿宋_GBK" w:cs="方正仿宋_GBK"/>
                <w:color w:val="000000"/>
                <w:sz w:val="18"/>
                <w:szCs w:val="18"/>
              </w:rPr>
            </w:pPr>
          </w:p>
        </w:tc>
        <w:tc>
          <w:tcPr>
            <w:tcW w:w="1293" w:type="dxa"/>
            <w:tcBorders>
              <w:top w:val="single" w:color="000000" w:sz="4" w:space="0"/>
              <w:left w:val="single" w:color="000000" w:sz="4" w:space="0"/>
              <w:bottom w:val="single" w:color="000000" w:sz="4" w:space="0"/>
              <w:right w:val="single" w:color="000000" w:sz="4" w:space="0"/>
            </w:tcBorders>
            <w:vAlign w:val="center"/>
          </w:tcPr>
          <w:p w14:paraId="2E1584CC">
            <w:pPr>
              <w:spacing w:line="240" w:lineRule="exact"/>
              <w:jc w:val="center"/>
              <w:rPr>
                <w:rFonts w:hint="eastAsia" w:ascii="方正仿宋_GBK" w:eastAsia="方正仿宋_GBK"/>
                <w:sz w:val="18"/>
                <w:szCs w:val="18"/>
              </w:rPr>
            </w:pPr>
            <w:r>
              <w:rPr>
                <w:rFonts w:hint="eastAsia" w:ascii="方正仿宋_GBK" w:eastAsia="方正仿宋_GBK"/>
                <w:sz w:val="18"/>
                <w:szCs w:val="18"/>
              </w:rPr>
              <w:t>打击治理跨境赌博移送起诉数</w:t>
            </w:r>
          </w:p>
        </w:tc>
        <w:tc>
          <w:tcPr>
            <w:tcW w:w="709" w:type="dxa"/>
            <w:tcBorders>
              <w:top w:val="single" w:color="000000" w:sz="4" w:space="0"/>
              <w:left w:val="single" w:color="000000" w:sz="4" w:space="0"/>
              <w:bottom w:val="single" w:color="000000" w:sz="4" w:space="0"/>
              <w:right w:val="single" w:color="000000" w:sz="4" w:space="0"/>
            </w:tcBorders>
            <w:vAlign w:val="center"/>
          </w:tcPr>
          <w:p w14:paraId="75FF1DC9">
            <w:pPr>
              <w:jc w:val="center"/>
              <w:rPr>
                <w:rFonts w:hint="eastAsia" w:ascii="方正仿宋_GBK" w:eastAsia="方正仿宋_GBK"/>
                <w:sz w:val="18"/>
                <w:szCs w:val="18"/>
              </w:rPr>
            </w:pPr>
            <w:r>
              <w:rPr>
                <w:rFonts w:hint="eastAsia" w:ascii="方正仿宋_GBK" w:eastAsia="方正仿宋_GBK"/>
                <w:sz w:val="18"/>
                <w:szCs w:val="18"/>
              </w:rPr>
              <w:t>人</w:t>
            </w:r>
          </w:p>
        </w:tc>
        <w:tc>
          <w:tcPr>
            <w:tcW w:w="850" w:type="dxa"/>
            <w:tcBorders>
              <w:top w:val="nil"/>
              <w:left w:val="single" w:color="auto" w:sz="4" w:space="0"/>
              <w:bottom w:val="single" w:color="auto" w:sz="4" w:space="0"/>
              <w:right w:val="single" w:color="auto" w:sz="4" w:space="0"/>
            </w:tcBorders>
            <w:shd w:val="clear" w:color="auto" w:fill="auto"/>
            <w:vAlign w:val="center"/>
          </w:tcPr>
          <w:p w14:paraId="4DFA4E63">
            <w:pPr>
              <w:jc w:val="center"/>
              <w:rPr>
                <w:rFonts w:hint="eastAsia" w:ascii="方正仿宋_GBK" w:eastAsia="方正仿宋_GBK"/>
                <w:color w:val="000000"/>
                <w:sz w:val="18"/>
                <w:szCs w:val="18"/>
              </w:rPr>
            </w:pPr>
            <w:r>
              <w:rPr>
                <w:rFonts w:hint="eastAsia" w:ascii="方正仿宋_GBK" w:eastAsia="方正仿宋_GBK"/>
                <w:color w:val="000000"/>
                <w:sz w:val="18"/>
                <w:szCs w:val="18"/>
              </w:rPr>
              <w:t>≥</w:t>
            </w:r>
          </w:p>
        </w:tc>
        <w:tc>
          <w:tcPr>
            <w:tcW w:w="851" w:type="dxa"/>
            <w:tcBorders>
              <w:top w:val="nil"/>
              <w:left w:val="single" w:color="auto" w:sz="4" w:space="0"/>
              <w:bottom w:val="single" w:color="auto" w:sz="4" w:space="0"/>
              <w:right w:val="single" w:color="auto" w:sz="4" w:space="0"/>
            </w:tcBorders>
            <w:shd w:val="clear" w:color="auto" w:fill="auto"/>
            <w:vAlign w:val="center"/>
          </w:tcPr>
          <w:p w14:paraId="2C454290">
            <w:pPr>
              <w:jc w:val="center"/>
              <w:rPr>
                <w:rFonts w:hint="eastAsia" w:ascii="方正仿宋_GBK" w:eastAsia="方正仿宋_GBK"/>
                <w:color w:val="000000"/>
                <w:sz w:val="18"/>
                <w:szCs w:val="18"/>
              </w:rPr>
            </w:pPr>
            <w:r>
              <w:rPr>
                <w:rFonts w:hint="eastAsia" w:ascii="方正仿宋_GBK" w:eastAsia="方正仿宋_GBK"/>
                <w:color w:val="000000"/>
                <w:sz w:val="18"/>
                <w:szCs w:val="18"/>
              </w:rPr>
              <w:t>81</w:t>
            </w:r>
          </w:p>
        </w:tc>
        <w:tc>
          <w:tcPr>
            <w:tcW w:w="709" w:type="dxa"/>
            <w:tcBorders>
              <w:top w:val="nil"/>
              <w:left w:val="single" w:color="auto" w:sz="4" w:space="0"/>
              <w:bottom w:val="single" w:color="auto" w:sz="4" w:space="0"/>
              <w:right w:val="single" w:color="auto" w:sz="4" w:space="0"/>
            </w:tcBorders>
            <w:shd w:val="clear" w:color="auto" w:fill="auto"/>
            <w:vAlign w:val="center"/>
          </w:tcPr>
          <w:p w14:paraId="6159ED18">
            <w:pPr>
              <w:jc w:val="center"/>
              <w:rPr>
                <w:rFonts w:hint="eastAsia" w:ascii="方正仿宋_GBK" w:eastAsia="方正仿宋_GBK"/>
                <w:color w:val="000000"/>
                <w:sz w:val="18"/>
                <w:szCs w:val="18"/>
              </w:rPr>
            </w:pPr>
            <w:r>
              <w:rPr>
                <w:rFonts w:hint="eastAsia" w:ascii="方正仿宋_GBK" w:eastAsia="方正仿宋_GBK"/>
                <w:color w:val="000000"/>
                <w:sz w:val="18"/>
                <w:szCs w:val="18"/>
              </w:rPr>
              <w:t>10</w:t>
            </w:r>
          </w:p>
        </w:tc>
        <w:tc>
          <w:tcPr>
            <w:tcW w:w="992" w:type="dxa"/>
            <w:tcBorders>
              <w:top w:val="single" w:color="000000" w:sz="4" w:space="0"/>
              <w:left w:val="single" w:color="000000" w:sz="4" w:space="0"/>
              <w:bottom w:val="single" w:color="000000" w:sz="4" w:space="0"/>
              <w:right w:val="single" w:color="000000" w:sz="4" w:space="0"/>
            </w:tcBorders>
            <w:vAlign w:val="center"/>
          </w:tcPr>
          <w:p w14:paraId="16566D6A">
            <w:pPr>
              <w:jc w:val="center"/>
              <w:rPr>
                <w:rFonts w:hint="eastAsia" w:ascii="方正仿宋_GBK" w:hAnsi="方正仿宋_GBK" w:eastAsia="方正仿宋_GBK" w:cs="方正仿宋_GBK"/>
                <w:color w:val="000000"/>
                <w:sz w:val="18"/>
                <w:szCs w:val="18"/>
              </w:rPr>
            </w:pPr>
            <w:r>
              <w:rPr>
                <w:rFonts w:hint="eastAsia" w:ascii="方正仿宋_GBK" w:eastAsia="方正仿宋_GBK"/>
                <w:color w:val="000000"/>
                <w:sz w:val="18"/>
                <w:szCs w:val="18"/>
              </w:rPr>
              <w:t>81</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02F099A8">
            <w:pPr>
              <w:jc w:val="center"/>
              <w:rPr>
                <w:rFonts w:hint="eastAsia" w:ascii="方正仿宋_GBK" w:hAnsi="方正仿宋_GBK" w:eastAsia="方正仿宋_GBK" w:cs="方正仿宋_GBK"/>
                <w:color w:val="000000"/>
                <w:sz w:val="18"/>
                <w:szCs w:val="18"/>
              </w:rPr>
            </w:pPr>
            <w:r>
              <w:rPr>
                <w:rFonts w:hint="eastAsia" w:ascii="方正仿宋_GBK" w:eastAsia="方正仿宋_GBK"/>
                <w:color w:val="000000"/>
                <w:sz w:val="18"/>
                <w:szCs w:val="18"/>
              </w:rPr>
              <w:t>10</w:t>
            </w:r>
          </w:p>
        </w:tc>
        <w:tc>
          <w:tcPr>
            <w:tcW w:w="1701" w:type="dxa"/>
            <w:gridSpan w:val="2"/>
            <w:tcBorders>
              <w:top w:val="single" w:color="000000" w:sz="4" w:space="0"/>
              <w:left w:val="single" w:color="000000" w:sz="4" w:space="0"/>
              <w:bottom w:val="single" w:color="000000" w:sz="4" w:space="0"/>
              <w:right w:val="single" w:color="000000" w:sz="4" w:space="0"/>
            </w:tcBorders>
            <w:vAlign w:val="center"/>
          </w:tcPr>
          <w:p w14:paraId="509BAB8A">
            <w:pPr>
              <w:rPr>
                <w:rFonts w:hint="eastAsia" w:ascii="方正仿宋_GBK" w:hAnsi="宋体" w:eastAsia="方正仿宋_GBK" w:cs="宋体"/>
                <w:color w:val="000000"/>
                <w:sz w:val="18"/>
                <w:szCs w:val="18"/>
              </w:rPr>
            </w:pPr>
          </w:p>
        </w:tc>
      </w:tr>
      <w:tr w14:paraId="715FE1D7">
        <w:tblPrEx>
          <w:tblCellMar>
            <w:top w:w="0" w:type="dxa"/>
            <w:left w:w="108" w:type="dxa"/>
            <w:bottom w:w="0" w:type="dxa"/>
            <w:right w:w="108" w:type="dxa"/>
          </w:tblCellMar>
        </w:tblPrEx>
        <w:trPr>
          <w:trHeight w:val="240" w:hRule="atLeast"/>
        </w:trPr>
        <w:tc>
          <w:tcPr>
            <w:tcW w:w="65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14:paraId="15527B6C">
            <w:pPr>
              <w:jc w:val="center"/>
              <w:rPr>
                <w:rFonts w:hint="eastAsia" w:ascii="方正仿宋_GBK" w:hAnsi="方正仿宋_GBK" w:eastAsia="方正仿宋_GBK" w:cs="方正仿宋_GBK"/>
                <w:color w:val="000000"/>
                <w:sz w:val="18"/>
                <w:szCs w:val="18"/>
              </w:rPr>
            </w:pPr>
          </w:p>
        </w:tc>
        <w:tc>
          <w:tcPr>
            <w:tcW w:w="1293" w:type="dxa"/>
            <w:tcBorders>
              <w:top w:val="single" w:color="000000" w:sz="4" w:space="0"/>
              <w:left w:val="single" w:color="000000" w:sz="4" w:space="0"/>
              <w:bottom w:val="single" w:color="000000" w:sz="4" w:space="0"/>
              <w:right w:val="single" w:color="000000" w:sz="4" w:space="0"/>
            </w:tcBorders>
            <w:vAlign w:val="center"/>
          </w:tcPr>
          <w:p w14:paraId="7AD8FB21">
            <w:pPr>
              <w:spacing w:line="240" w:lineRule="exact"/>
              <w:jc w:val="center"/>
              <w:rPr>
                <w:rFonts w:hint="eastAsia" w:ascii="方正仿宋_GBK" w:eastAsia="方正仿宋_GBK"/>
                <w:sz w:val="18"/>
                <w:szCs w:val="18"/>
              </w:rPr>
            </w:pPr>
            <w:r>
              <w:rPr>
                <w:rFonts w:hint="eastAsia" w:ascii="方正仿宋_GBK" w:eastAsia="方正仿宋_GBK"/>
                <w:sz w:val="18"/>
                <w:szCs w:val="18"/>
              </w:rPr>
              <w:t>盗抢案件追赃返还率</w:t>
            </w:r>
          </w:p>
        </w:tc>
        <w:tc>
          <w:tcPr>
            <w:tcW w:w="709" w:type="dxa"/>
            <w:tcBorders>
              <w:top w:val="single" w:color="000000" w:sz="4" w:space="0"/>
              <w:left w:val="single" w:color="000000" w:sz="4" w:space="0"/>
              <w:bottom w:val="single" w:color="000000" w:sz="4" w:space="0"/>
              <w:right w:val="single" w:color="000000" w:sz="4" w:space="0"/>
            </w:tcBorders>
            <w:vAlign w:val="center"/>
          </w:tcPr>
          <w:p w14:paraId="2E002B7D">
            <w:pPr>
              <w:jc w:val="center"/>
              <w:rPr>
                <w:rFonts w:hint="eastAsia" w:ascii="方正仿宋_GBK" w:eastAsia="方正仿宋_GBK"/>
                <w:sz w:val="18"/>
                <w:szCs w:val="18"/>
              </w:rPr>
            </w:pPr>
            <w:r>
              <w:rPr>
                <w:rFonts w:hint="eastAsia" w:ascii="方正仿宋_GBK" w:eastAsia="方正仿宋_GBK"/>
                <w:sz w:val="18"/>
                <w:szCs w:val="18"/>
              </w:rPr>
              <w:t>%</w:t>
            </w:r>
          </w:p>
        </w:tc>
        <w:tc>
          <w:tcPr>
            <w:tcW w:w="850" w:type="dxa"/>
            <w:tcBorders>
              <w:top w:val="nil"/>
              <w:left w:val="single" w:color="auto" w:sz="4" w:space="0"/>
              <w:bottom w:val="single" w:color="auto" w:sz="4" w:space="0"/>
              <w:right w:val="single" w:color="auto" w:sz="4" w:space="0"/>
            </w:tcBorders>
            <w:shd w:val="clear" w:color="auto" w:fill="auto"/>
            <w:vAlign w:val="center"/>
          </w:tcPr>
          <w:p w14:paraId="7A60C591">
            <w:pPr>
              <w:jc w:val="center"/>
              <w:rPr>
                <w:rFonts w:hint="eastAsia" w:ascii="方正仿宋_GBK" w:eastAsia="方正仿宋_GBK"/>
                <w:color w:val="000000"/>
                <w:sz w:val="18"/>
                <w:szCs w:val="18"/>
              </w:rPr>
            </w:pPr>
            <w:r>
              <w:rPr>
                <w:rFonts w:hint="eastAsia" w:ascii="方正仿宋_GBK" w:eastAsia="方正仿宋_GBK"/>
                <w:color w:val="000000"/>
                <w:sz w:val="18"/>
                <w:szCs w:val="18"/>
              </w:rPr>
              <w:t>≥</w:t>
            </w:r>
          </w:p>
        </w:tc>
        <w:tc>
          <w:tcPr>
            <w:tcW w:w="851" w:type="dxa"/>
            <w:tcBorders>
              <w:top w:val="nil"/>
              <w:left w:val="single" w:color="auto" w:sz="4" w:space="0"/>
              <w:bottom w:val="single" w:color="auto" w:sz="4" w:space="0"/>
              <w:right w:val="single" w:color="auto" w:sz="4" w:space="0"/>
            </w:tcBorders>
            <w:shd w:val="clear" w:color="auto" w:fill="auto"/>
            <w:vAlign w:val="center"/>
          </w:tcPr>
          <w:p w14:paraId="57F0461F">
            <w:pPr>
              <w:jc w:val="center"/>
              <w:rPr>
                <w:rFonts w:hint="eastAsia" w:ascii="方正仿宋_GBK" w:eastAsia="方正仿宋_GBK"/>
                <w:color w:val="000000"/>
                <w:sz w:val="18"/>
                <w:szCs w:val="18"/>
              </w:rPr>
            </w:pPr>
            <w:r>
              <w:rPr>
                <w:rFonts w:hint="eastAsia" w:ascii="方正仿宋_GBK" w:eastAsia="方正仿宋_GBK"/>
                <w:color w:val="000000"/>
                <w:sz w:val="18"/>
                <w:szCs w:val="18"/>
              </w:rPr>
              <w:t>27</w:t>
            </w:r>
          </w:p>
        </w:tc>
        <w:tc>
          <w:tcPr>
            <w:tcW w:w="709" w:type="dxa"/>
            <w:tcBorders>
              <w:top w:val="nil"/>
              <w:left w:val="single" w:color="auto" w:sz="4" w:space="0"/>
              <w:bottom w:val="single" w:color="auto" w:sz="4" w:space="0"/>
              <w:right w:val="single" w:color="auto" w:sz="4" w:space="0"/>
            </w:tcBorders>
            <w:shd w:val="clear" w:color="auto" w:fill="auto"/>
            <w:vAlign w:val="center"/>
          </w:tcPr>
          <w:p w14:paraId="7E604A16">
            <w:pPr>
              <w:jc w:val="center"/>
              <w:rPr>
                <w:rFonts w:hint="eastAsia" w:ascii="方正仿宋_GBK" w:eastAsia="方正仿宋_GBK"/>
                <w:color w:val="000000"/>
                <w:sz w:val="18"/>
                <w:szCs w:val="18"/>
              </w:rPr>
            </w:pPr>
            <w:r>
              <w:rPr>
                <w:rFonts w:hint="eastAsia" w:ascii="方正仿宋_GBK" w:eastAsia="方正仿宋_GBK"/>
                <w:color w:val="000000"/>
                <w:sz w:val="18"/>
                <w:szCs w:val="18"/>
              </w:rPr>
              <w:t>10</w:t>
            </w:r>
          </w:p>
        </w:tc>
        <w:tc>
          <w:tcPr>
            <w:tcW w:w="992" w:type="dxa"/>
            <w:tcBorders>
              <w:top w:val="single" w:color="000000" w:sz="4" w:space="0"/>
              <w:left w:val="single" w:color="000000" w:sz="4" w:space="0"/>
              <w:bottom w:val="single" w:color="000000" w:sz="4" w:space="0"/>
              <w:right w:val="single" w:color="000000" w:sz="4" w:space="0"/>
            </w:tcBorders>
            <w:vAlign w:val="center"/>
          </w:tcPr>
          <w:p w14:paraId="5479A77C">
            <w:pPr>
              <w:jc w:val="center"/>
              <w:rPr>
                <w:rFonts w:hint="eastAsia" w:ascii="方正仿宋_GBK" w:hAnsi="方正仿宋_GBK" w:eastAsia="方正仿宋_GBK" w:cs="方正仿宋_GBK"/>
                <w:color w:val="000000"/>
                <w:sz w:val="18"/>
                <w:szCs w:val="18"/>
              </w:rPr>
            </w:pPr>
            <w:r>
              <w:rPr>
                <w:rFonts w:hint="eastAsia" w:ascii="方正仿宋_GBK" w:eastAsia="方正仿宋_GBK"/>
                <w:color w:val="000000"/>
                <w:sz w:val="18"/>
                <w:szCs w:val="18"/>
              </w:rPr>
              <w:t>27</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1A847C25">
            <w:pPr>
              <w:jc w:val="center"/>
              <w:rPr>
                <w:rFonts w:hint="eastAsia" w:ascii="方正仿宋_GBK" w:hAnsi="方正仿宋_GBK" w:eastAsia="方正仿宋_GBK" w:cs="方正仿宋_GBK"/>
                <w:color w:val="000000"/>
                <w:sz w:val="18"/>
                <w:szCs w:val="18"/>
              </w:rPr>
            </w:pPr>
            <w:r>
              <w:rPr>
                <w:rFonts w:hint="eastAsia" w:ascii="方正仿宋_GBK" w:eastAsia="方正仿宋_GBK"/>
                <w:color w:val="000000"/>
                <w:sz w:val="18"/>
                <w:szCs w:val="18"/>
              </w:rPr>
              <w:t>10</w:t>
            </w:r>
          </w:p>
        </w:tc>
        <w:tc>
          <w:tcPr>
            <w:tcW w:w="1701" w:type="dxa"/>
            <w:gridSpan w:val="2"/>
            <w:tcBorders>
              <w:top w:val="single" w:color="000000" w:sz="4" w:space="0"/>
              <w:left w:val="single" w:color="000000" w:sz="4" w:space="0"/>
              <w:bottom w:val="single" w:color="000000" w:sz="4" w:space="0"/>
              <w:right w:val="single" w:color="000000" w:sz="4" w:space="0"/>
            </w:tcBorders>
            <w:vAlign w:val="center"/>
          </w:tcPr>
          <w:p w14:paraId="1298118C">
            <w:pPr>
              <w:rPr>
                <w:rFonts w:hint="eastAsia" w:ascii="方正仿宋_GBK" w:hAnsi="宋体" w:eastAsia="方正仿宋_GBK" w:cs="宋体"/>
                <w:color w:val="000000"/>
                <w:sz w:val="18"/>
                <w:szCs w:val="18"/>
              </w:rPr>
            </w:pPr>
          </w:p>
        </w:tc>
      </w:tr>
      <w:tr w14:paraId="3725E23D">
        <w:tblPrEx>
          <w:tblCellMar>
            <w:top w:w="0" w:type="dxa"/>
            <w:left w:w="108" w:type="dxa"/>
            <w:bottom w:w="0" w:type="dxa"/>
            <w:right w:w="108" w:type="dxa"/>
          </w:tblCellMar>
        </w:tblPrEx>
        <w:trPr>
          <w:trHeight w:val="648" w:hRule="atLeast"/>
        </w:trPr>
        <w:tc>
          <w:tcPr>
            <w:tcW w:w="65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14:paraId="1472105E">
            <w:pPr>
              <w:jc w:val="center"/>
              <w:rPr>
                <w:rFonts w:hint="eastAsia" w:ascii="方正仿宋_GBK" w:hAnsi="方正仿宋_GBK" w:eastAsia="方正仿宋_GBK" w:cs="方正仿宋_GBK"/>
                <w:color w:val="000000"/>
                <w:sz w:val="18"/>
                <w:szCs w:val="18"/>
              </w:rPr>
            </w:pPr>
          </w:p>
        </w:tc>
        <w:tc>
          <w:tcPr>
            <w:tcW w:w="1293" w:type="dxa"/>
            <w:tcBorders>
              <w:top w:val="single" w:color="000000" w:sz="4" w:space="0"/>
              <w:left w:val="single" w:color="000000" w:sz="4" w:space="0"/>
              <w:bottom w:val="single" w:color="000000" w:sz="4" w:space="0"/>
              <w:right w:val="single" w:color="000000" w:sz="4" w:space="0"/>
            </w:tcBorders>
            <w:vAlign w:val="center"/>
          </w:tcPr>
          <w:p w14:paraId="0F9A32E8">
            <w:pPr>
              <w:spacing w:line="240" w:lineRule="exact"/>
              <w:jc w:val="center"/>
              <w:rPr>
                <w:rFonts w:hint="eastAsia" w:ascii="方正仿宋_GBK" w:eastAsia="方正仿宋_GBK"/>
                <w:sz w:val="18"/>
                <w:szCs w:val="18"/>
              </w:rPr>
            </w:pPr>
            <w:r>
              <w:rPr>
                <w:rFonts w:hint="eastAsia" w:ascii="方正仿宋_GBK" w:eastAsia="方正仿宋_GBK"/>
                <w:sz w:val="18"/>
                <w:szCs w:val="18"/>
              </w:rPr>
              <w:t>盗窃案件现案破案率</w:t>
            </w:r>
          </w:p>
        </w:tc>
        <w:tc>
          <w:tcPr>
            <w:tcW w:w="709" w:type="dxa"/>
            <w:tcBorders>
              <w:top w:val="single" w:color="000000" w:sz="4" w:space="0"/>
              <w:left w:val="single" w:color="000000" w:sz="4" w:space="0"/>
              <w:bottom w:val="single" w:color="000000" w:sz="4" w:space="0"/>
              <w:right w:val="single" w:color="000000" w:sz="4" w:space="0"/>
            </w:tcBorders>
            <w:vAlign w:val="center"/>
          </w:tcPr>
          <w:p w14:paraId="6636E899">
            <w:pPr>
              <w:jc w:val="center"/>
              <w:rPr>
                <w:rFonts w:hint="eastAsia" w:ascii="方正仿宋_GBK" w:eastAsia="方正仿宋_GBK"/>
                <w:sz w:val="18"/>
                <w:szCs w:val="18"/>
              </w:rPr>
            </w:pPr>
            <w:r>
              <w:rPr>
                <w:rFonts w:hint="eastAsia" w:ascii="方正仿宋_GBK" w:eastAsia="方正仿宋_GBK"/>
                <w:sz w:val="18"/>
                <w:szCs w:val="18"/>
              </w:rPr>
              <w:t>%</w:t>
            </w:r>
          </w:p>
        </w:tc>
        <w:tc>
          <w:tcPr>
            <w:tcW w:w="850" w:type="dxa"/>
            <w:tcBorders>
              <w:top w:val="nil"/>
              <w:left w:val="single" w:color="auto" w:sz="4" w:space="0"/>
              <w:bottom w:val="single" w:color="auto" w:sz="4" w:space="0"/>
              <w:right w:val="single" w:color="auto" w:sz="4" w:space="0"/>
            </w:tcBorders>
            <w:shd w:val="clear" w:color="auto" w:fill="auto"/>
            <w:vAlign w:val="center"/>
          </w:tcPr>
          <w:p w14:paraId="012537D9">
            <w:pPr>
              <w:jc w:val="center"/>
              <w:rPr>
                <w:rFonts w:hint="eastAsia" w:ascii="方正仿宋_GBK" w:eastAsia="方正仿宋_GBK"/>
                <w:color w:val="000000"/>
                <w:sz w:val="18"/>
                <w:szCs w:val="18"/>
              </w:rPr>
            </w:pPr>
            <w:r>
              <w:rPr>
                <w:rFonts w:hint="eastAsia" w:ascii="方正仿宋_GBK" w:eastAsia="方正仿宋_GBK"/>
                <w:color w:val="000000"/>
                <w:sz w:val="18"/>
                <w:szCs w:val="18"/>
              </w:rPr>
              <w:t>≥</w:t>
            </w:r>
          </w:p>
        </w:tc>
        <w:tc>
          <w:tcPr>
            <w:tcW w:w="851" w:type="dxa"/>
            <w:tcBorders>
              <w:top w:val="nil"/>
              <w:left w:val="single" w:color="auto" w:sz="4" w:space="0"/>
              <w:bottom w:val="single" w:color="auto" w:sz="4" w:space="0"/>
              <w:right w:val="single" w:color="auto" w:sz="4" w:space="0"/>
            </w:tcBorders>
            <w:shd w:val="clear" w:color="auto" w:fill="auto"/>
            <w:vAlign w:val="center"/>
          </w:tcPr>
          <w:p w14:paraId="59382B1D">
            <w:pPr>
              <w:jc w:val="center"/>
              <w:rPr>
                <w:rFonts w:hint="eastAsia" w:ascii="方正仿宋_GBK" w:eastAsia="方正仿宋_GBK"/>
                <w:color w:val="000000"/>
                <w:sz w:val="18"/>
                <w:szCs w:val="18"/>
              </w:rPr>
            </w:pPr>
            <w:r>
              <w:rPr>
                <w:rFonts w:hint="eastAsia" w:ascii="方正仿宋_GBK" w:eastAsia="方正仿宋_GBK"/>
                <w:color w:val="000000"/>
                <w:sz w:val="18"/>
                <w:szCs w:val="18"/>
              </w:rPr>
              <w:t>50</w:t>
            </w:r>
          </w:p>
        </w:tc>
        <w:tc>
          <w:tcPr>
            <w:tcW w:w="709" w:type="dxa"/>
            <w:tcBorders>
              <w:top w:val="nil"/>
              <w:left w:val="single" w:color="auto" w:sz="4" w:space="0"/>
              <w:bottom w:val="single" w:color="auto" w:sz="4" w:space="0"/>
              <w:right w:val="single" w:color="auto" w:sz="4" w:space="0"/>
            </w:tcBorders>
            <w:shd w:val="clear" w:color="auto" w:fill="auto"/>
            <w:vAlign w:val="center"/>
          </w:tcPr>
          <w:p w14:paraId="7748C908">
            <w:pPr>
              <w:jc w:val="center"/>
              <w:rPr>
                <w:rFonts w:hint="eastAsia" w:ascii="方正仿宋_GBK" w:eastAsia="方正仿宋_GBK"/>
                <w:color w:val="000000"/>
                <w:sz w:val="18"/>
                <w:szCs w:val="18"/>
              </w:rPr>
            </w:pPr>
            <w:r>
              <w:rPr>
                <w:rFonts w:hint="eastAsia" w:ascii="方正仿宋_GBK" w:eastAsia="方正仿宋_GBK"/>
                <w:color w:val="000000"/>
                <w:sz w:val="18"/>
                <w:szCs w:val="18"/>
              </w:rPr>
              <w:t>10</w:t>
            </w:r>
          </w:p>
        </w:tc>
        <w:tc>
          <w:tcPr>
            <w:tcW w:w="992" w:type="dxa"/>
            <w:tcBorders>
              <w:top w:val="single" w:color="000000" w:sz="4" w:space="0"/>
              <w:left w:val="single" w:color="000000" w:sz="4" w:space="0"/>
              <w:bottom w:val="single" w:color="000000" w:sz="4" w:space="0"/>
              <w:right w:val="single" w:color="000000" w:sz="4" w:space="0"/>
            </w:tcBorders>
            <w:vAlign w:val="center"/>
          </w:tcPr>
          <w:p w14:paraId="32BB3EAB">
            <w:pPr>
              <w:jc w:val="center"/>
              <w:rPr>
                <w:rFonts w:hint="eastAsia" w:ascii="方正仿宋_GBK" w:hAnsi="方正仿宋_GBK" w:eastAsia="方正仿宋_GBK" w:cs="方正仿宋_GBK"/>
                <w:color w:val="000000"/>
                <w:sz w:val="18"/>
                <w:szCs w:val="18"/>
              </w:rPr>
            </w:pPr>
            <w:r>
              <w:rPr>
                <w:rFonts w:hint="eastAsia" w:ascii="方正仿宋_GBK" w:eastAsia="方正仿宋_GBK"/>
                <w:color w:val="000000"/>
                <w:sz w:val="18"/>
                <w:szCs w:val="18"/>
              </w:rPr>
              <w:t>50</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644A75C3">
            <w:pPr>
              <w:jc w:val="center"/>
              <w:rPr>
                <w:rFonts w:hint="eastAsia" w:ascii="方正仿宋_GBK" w:hAnsi="方正仿宋_GBK" w:eastAsia="方正仿宋_GBK" w:cs="方正仿宋_GBK"/>
                <w:color w:val="000000"/>
                <w:sz w:val="18"/>
                <w:szCs w:val="18"/>
              </w:rPr>
            </w:pPr>
            <w:r>
              <w:rPr>
                <w:rFonts w:hint="eastAsia" w:ascii="方正仿宋_GBK" w:eastAsia="方正仿宋_GBK"/>
                <w:color w:val="000000"/>
                <w:sz w:val="18"/>
                <w:szCs w:val="18"/>
              </w:rPr>
              <w:t>10</w:t>
            </w:r>
          </w:p>
        </w:tc>
        <w:tc>
          <w:tcPr>
            <w:tcW w:w="1701" w:type="dxa"/>
            <w:gridSpan w:val="2"/>
            <w:tcBorders>
              <w:top w:val="single" w:color="000000" w:sz="4" w:space="0"/>
              <w:left w:val="single" w:color="000000" w:sz="4" w:space="0"/>
              <w:bottom w:val="single" w:color="000000" w:sz="4" w:space="0"/>
              <w:right w:val="single" w:color="000000" w:sz="4" w:space="0"/>
            </w:tcBorders>
            <w:vAlign w:val="center"/>
          </w:tcPr>
          <w:p w14:paraId="07BBB14B">
            <w:pPr>
              <w:rPr>
                <w:rFonts w:hint="eastAsia" w:ascii="方正仿宋_GBK" w:hAnsi="宋体" w:eastAsia="方正仿宋_GBK" w:cs="宋体"/>
                <w:color w:val="000000"/>
                <w:sz w:val="18"/>
                <w:szCs w:val="18"/>
              </w:rPr>
            </w:pPr>
          </w:p>
        </w:tc>
      </w:tr>
      <w:tr w14:paraId="48D1859D">
        <w:tblPrEx>
          <w:tblCellMar>
            <w:top w:w="0" w:type="dxa"/>
            <w:left w:w="108" w:type="dxa"/>
            <w:bottom w:w="0" w:type="dxa"/>
            <w:right w:w="108" w:type="dxa"/>
          </w:tblCellMar>
        </w:tblPrEx>
        <w:trPr>
          <w:trHeight w:val="58" w:hRule="atLeast"/>
        </w:trPr>
        <w:tc>
          <w:tcPr>
            <w:tcW w:w="65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14:paraId="42C78FDD">
            <w:pPr>
              <w:jc w:val="center"/>
              <w:rPr>
                <w:rFonts w:hint="eastAsia" w:ascii="方正仿宋_GBK" w:hAnsi="方正仿宋_GBK" w:eastAsia="方正仿宋_GBK" w:cs="方正仿宋_GBK"/>
                <w:color w:val="000000"/>
                <w:sz w:val="18"/>
                <w:szCs w:val="18"/>
              </w:rPr>
            </w:pPr>
          </w:p>
        </w:tc>
        <w:tc>
          <w:tcPr>
            <w:tcW w:w="1293" w:type="dxa"/>
            <w:tcBorders>
              <w:top w:val="single" w:color="000000" w:sz="4" w:space="0"/>
              <w:left w:val="single" w:color="000000" w:sz="4" w:space="0"/>
              <w:bottom w:val="single" w:color="000000" w:sz="4" w:space="0"/>
              <w:right w:val="single" w:color="000000" w:sz="4" w:space="0"/>
            </w:tcBorders>
            <w:vAlign w:val="center"/>
          </w:tcPr>
          <w:p w14:paraId="5DC50788">
            <w:pPr>
              <w:spacing w:line="240" w:lineRule="exact"/>
              <w:jc w:val="center"/>
              <w:rPr>
                <w:rFonts w:hint="eastAsia" w:ascii="方正仿宋_GBK" w:eastAsia="方正仿宋_GBK"/>
                <w:sz w:val="18"/>
                <w:szCs w:val="18"/>
              </w:rPr>
            </w:pPr>
            <w:r>
              <w:rPr>
                <w:rFonts w:hint="eastAsia" w:ascii="方正仿宋_GBK" w:eastAsia="方正仿宋_GBK"/>
                <w:sz w:val="18"/>
                <w:szCs w:val="18"/>
              </w:rPr>
              <w:t>电诈案件追赃返还率</w:t>
            </w:r>
          </w:p>
        </w:tc>
        <w:tc>
          <w:tcPr>
            <w:tcW w:w="709" w:type="dxa"/>
            <w:tcBorders>
              <w:top w:val="single" w:color="000000" w:sz="4" w:space="0"/>
              <w:left w:val="single" w:color="000000" w:sz="4" w:space="0"/>
              <w:bottom w:val="single" w:color="000000" w:sz="4" w:space="0"/>
              <w:right w:val="single" w:color="000000" w:sz="4" w:space="0"/>
            </w:tcBorders>
            <w:vAlign w:val="center"/>
          </w:tcPr>
          <w:p w14:paraId="507E69BF">
            <w:pPr>
              <w:jc w:val="center"/>
              <w:rPr>
                <w:rFonts w:hint="eastAsia" w:ascii="方正仿宋_GBK" w:eastAsia="方正仿宋_GBK"/>
                <w:sz w:val="18"/>
                <w:szCs w:val="18"/>
              </w:rPr>
            </w:pPr>
            <w:r>
              <w:rPr>
                <w:rFonts w:hint="eastAsia" w:ascii="方正仿宋_GBK" w:eastAsia="方正仿宋_GBK"/>
                <w:sz w:val="18"/>
                <w:szCs w:val="18"/>
              </w:rPr>
              <w:t>%</w:t>
            </w:r>
          </w:p>
        </w:tc>
        <w:tc>
          <w:tcPr>
            <w:tcW w:w="850" w:type="dxa"/>
            <w:tcBorders>
              <w:top w:val="nil"/>
              <w:left w:val="single" w:color="auto" w:sz="4" w:space="0"/>
              <w:bottom w:val="single" w:color="auto" w:sz="4" w:space="0"/>
              <w:right w:val="single" w:color="auto" w:sz="4" w:space="0"/>
            </w:tcBorders>
            <w:shd w:val="clear" w:color="auto" w:fill="auto"/>
            <w:vAlign w:val="center"/>
          </w:tcPr>
          <w:p w14:paraId="33A8D4ED">
            <w:pPr>
              <w:jc w:val="center"/>
              <w:rPr>
                <w:rFonts w:hint="eastAsia" w:ascii="方正仿宋_GBK" w:eastAsia="方正仿宋_GBK"/>
                <w:color w:val="000000"/>
                <w:sz w:val="18"/>
                <w:szCs w:val="18"/>
              </w:rPr>
            </w:pPr>
            <w:r>
              <w:rPr>
                <w:rFonts w:hint="eastAsia" w:ascii="方正仿宋_GBK" w:eastAsia="方正仿宋_GBK"/>
                <w:color w:val="000000"/>
                <w:sz w:val="18"/>
                <w:szCs w:val="18"/>
              </w:rPr>
              <w:t>≥</w:t>
            </w:r>
          </w:p>
        </w:tc>
        <w:tc>
          <w:tcPr>
            <w:tcW w:w="851" w:type="dxa"/>
            <w:tcBorders>
              <w:top w:val="nil"/>
              <w:left w:val="single" w:color="auto" w:sz="4" w:space="0"/>
              <w:bottom w:val="single" w:color="auto" w:sz="4" w:space="0"/>
              <w:right w:val="single" w:color="auto" w:sz="4" w:space="0"/>
            </w:tcBorders>
            <w:shd w:val="clear" w:color="auto" w:fill="auto"/>
            <w:vAlign w:val="center"/>
          </w:tcPr>
          <w:p w14:paraId="4FDBA5CA">
            <w:pPr>
              <w:jc w:val="center"/>
              <w:rPr>
                <w:rFonts w:hint="eastAsia" w:ascii="方正仿宋_GBK" w:eastAsia="方正仿宋_GBK"/>
                <w:color w:val="000000"/>
                <w:sz w:val="18"/>
                <w:szCs w:val="18"/>
              </w:rPr>
            </w:pPr>
            <w:r>
              <w:rPr>
                <w:rFonts w:hint="eastAsia" w:ascii="方正仿宋_GBK" w:eastAsia="方正仿宋_GBK"/>
                <w:color w:val="000000"/>
                <w:sz w:val="18"/>
                <w:szCs w:val="18"/>
              </w:rPr>
              <w:t>8</w:t>
            </w:r>
          </w:p>
        </w:tc>
        <w:tc>
          <w:tcPr>
            <w:tcW w:w="709" w:type="dxa"/>
            <w:tcBorders>
              <w:top w:val="nil"/>
              <w:left w:val="single" w:color="auto" w:sz="4" w:space="0"/>
              <w:bottom w:val="single" w:color="auto" w:sz="4" w:space="0"/>
              <w:right w:val="single" w:color="auto" w:sz="4" w:space="0"/>
            </w:tcBorders>
            <w:shd w:val="clear" w:color="auto" w:fill="auto"/>
            <w:vAlign w:val="center"/>
          </w:tcPr>
          <w:p w14:paraId="58C54654">
            <w:pPr>
              <w:jc w:val="center"/>
              <w:rPr>
                <w:rFonts w:hint="eastAsia" w:ascii="方正仿宋_GBK" w:eastAsia="方正仿宋_GBK"/>
                <w:color w:val="000000"/>
                <w:sz w:val="18"/>
                <w:szCs w:val="18"/>
              </w:rPr>
            </w:pPr>
            <w:r>
              <w:rPr>
                <w:rFonts w:hint="eastAsia" w:ascii="方正仿宋_GBK" w:eastAsia="方正仿宋_GBK"/>
                <w:color w:val="000000"/>
                <w:sz w:val="18"/>
                <w:szCs w:val="18"/>
              </w:rPr>
              <w:t>20</w:t>
            </w:r>
          </w:p>
        </w:tc>
        <w:tc>
          <w:tcPr>
            <w:tcW w:w="992" w:type="dxa"/>
            <w:tcBorders>
              <w:top w:val="single" w:color="000000" w:sz="4" w:space="0"/>
              <w:left w:val="single" w:color="000000" w:sz="4" w:space="0"/>
              <w:bottom w:val="single" w:color="000000" w:sz="4" w:space="0"/>
              <w:right w:val="single" w:color="000000" w:sz="4" w:space="0"/>
            </w:tcBorders>
            <w:vAlign w:val="center"/>
          </w:tcPr>
          <w:p w14:paraId="3574149E">
            <w:pPr>
              <w:jc w:val="center"/>
              <w:rPr>
                <w:rFonts w:hint="eastAsia" w:ascii="方正仿宋_GBK" w:hAnsi="方正仿宋_GBK" w:eastAsia="方正仿宋_GBK" w:cs="方正仿宋_GBK"/>
                <w:color w:val="000000"/>
                <w:sz w:val="18"/>
                <w:szCs w:val="18"/>
              </w:rPr>
            </w:pPr>
            <w:r>
              <w:rPr>
                <w:rFonts w:hint="eastAsia" w:ascii="方正仿宋_GBK" w:eastAsia="方正仿宋_GBK"/>
                <w:color w:val="000000"/>
                <w:sz w:val="18"/>
                <w:szCs w:val="18"/>
              </w:rPr>
              <w:t>8</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08AFB899">
            <w:pPr>
              <w:jc w:val="center"/>
              <w:rPr>
                <w:rFonts w:hint="eastAsia" w:ascii="方正仿宋_GBK" w:hAnsi="方正仿宋_GBK" w:eastAsia="方正仿宋_GBK" w:cs="方正仿宋_GBK"/>
                <w:color w:val="000000"/>
                <w:sz w:val="18"/>
                <w:szCs w:val="18"/>
              </w:rPr>
            </w:pPr>
            <w:r>
              <w:rPr>
                <w:rFonts w:hint="eastAsia" w:ascii="方正仿宋_GBK" w:eastAsia="方正仿宋_GBK"/>
                <w:color w:val="000000"/>
                <w:sz w:val="18"/>
                <w:szCs w:val="18"/>
              </w:rPr>
              <w:t>20</w:t>
            </w:r>
          </w:p>
        </w:tc>
        <w:tc>
          <w:tcPr>
            <w:tcW w:w="1701" w:type="dxa"/>
            <w:gridSpan w:val="2"/>
            <w:tcBorders>
              <w:top w:val="single" w:color="000000" w:sz="4" w:space="0"/>
              <w:left w:val="single" w:color="000000" w:sz="4" w:space="0"/>
              <w:bottom w:val="single" w:color="000000" w:sz="4" w:space="0"/>
              <w:right w:val="single" w:color="000000" w:sz="4" w:space="0"/>
            </w:tcBorders>
            <w:vAlign w:val="center"/>
          </w:tcPr>
          <w:p w14:paraId="3646671B">
            <w:pPr>
              <w:rPr>
                <w:rFonts w:hint="eastAsia" w:ascii="方正仿宋_GBK" w:hAnsi="宋体" w:eastAsia="方正仿宋_GBK" w:cs="宋体"/>
                <w:color w:val="000000"/>
                <w:sz w:val="18"/>
                <w:szCs w:val="18"/>
              </w:rPr>
            </w:pPr>
          </w:p>
        </w:tc>
      </w:tr>
      <w:tr w14:paraId="2A57B1BC">
        <w:tblPrEx>
          <w:tblCellMar>
            <w:top w:w="0" w:type="dxa"/>
            <w:left w:w="108" w:type="dxa"/>
            <w:bottom w:w="0" w:type="dxa"/>
            <w:right w:w="108" w:type="dxa"/>
          </w:tblCellMar>
        </w:tblPrEx>
        <w:trPr>
          <w:trHeight w:val="58" w:hRule="atLeast"/>
        </w:trPr>
        <w:tc>
          <w:tcPr>
            <w:tcW w:w="65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14:paraId="338CA4A8">
            <w:pPr>
              <w:jc w:val="center"/>
              <w:rPr>
                <w:rFonts w:hint="eastAsia" w:ascii="方正仿宋_GBK" w:hAnsi="方正仿宋_GBK" w:eastAsia="方正仿宋_GBK" w:cs="方正仿宋_GBK"/>
                <w:color w:val="000000"/>
                <w:sz w:val="18"/>
                <w:szCs w:val="18"/>
              </w:rPr>
            </w:pPr>
          </w:p>
        </w:tc>
        <w:tc>
          <w:tcPr>
            <w:tcW w:w="1293" w:type="dxa"/>
            <w:tcBorders>
              <w:top w:val="single" w:color="000000" w:sz="4" w:space="0"/>
              <w:left w:val="single" w:color="000000" w:sz="4" w:space="0"/>
              <w:bottom w:val="single" w:color="000000" w:sz="4" w:space="0"/>
              <w:right w:val="single" w:color="000000" w:sz="4" w:space="0"/>
            </w:tcBorders>
            <w:vAlign w:val="center"/>
          </w:tcPr>
          <w:p w14:paraId="52303DCB">
            <w:pPr>
              <w:spacing w:line="240" w:lineRule="exact"/>
              <w:jc w:val="center"/>
              <w:rPr>
                <w:rFonts w:hint="eastAsia" w:ascii="方正仿宋_GBK" w:eastAsia="方正仿宋_GBK"/>
                <w:sz w:val="18"/>
                <w:szCs w:val="18"/>
              </w:rPr>
            </w:pPr>
            <w:r>
              <w:rPr>
                <w:rFonts w:hint="eastAsia" w:ascii="方正仿宋_GBK" w:eastAsia="方正仿宋_GBK"/>
                <w:sz w:val="18"/>
                <w:szCs w:val="18"/>
              </w:rPr>
              <w:t>群众对窗口单位服务</w:t>
            </w:r>
          </w:p>
        </w:tc>
        <w:tc>
          <w:tcPr>
            <w:tcW w:w="709" w:type="dxa"/>
            <w:tcBorders>
              <w:top w:val="single" w:color="000000" w:sz="4" w:space="0"/>
              <w:left w:val="single" w:color="000000" w:sz="4" w:space="0"/>
              <w:bottom w:val="single" w:color="000000" w:sz="4" w:space="0"/>
              <w:right w:val="single" w:color="000000" w:sz="4" w:space="0"/>
            </w:tcBorders>
            <w:vAlign w:val="center"/>
          </w:tcPr>
          <w:p w14:paraId="49EEBB8B">
            <w:pPr>
              <w:jc w:val="center"/>
              <w:rPr>
                <w:rFonts w:hint="eastAsia" w:ascii="方正仿宋_GBK" w:eastAsia="方正仿宋_GBK"/>
                <w:sz w:val="18"/>
                <w:szCs w:val="18"/>
              </w:rPr>
            </w:pPr>
            <w:r>
              <w:rPr>
                <w:rFonts w:hint="eastAsia" w:ascii="方正仿宋_GBK" w:eastAsia="方正仿宋_GBK"/>
                <w:sz w:val="18"/>
                <w:szCs w:val="18"/>
              </w:rPr>
              <w:t>%</w:t>
            </w:r>
          </w:p>
        </w:tc>
        <w:tc>
          <w:tcPr>
            <w:tcW w:w="850" w:type="dxa"/>
            <w:tcBorders>
              <w:top w:val="nil"/>
              <w:left w:val="single" w:color="auto" w:sz="4" w:space="0"/>
              <w:bottom w:val="single" w:color="auto" w:sz="4" w:space="0"/>
              <w:right w:val="single" w:color="auto" w:sz="4" w:space="0"/>
            </w:tcBorders>
            <w:shd w:val="clear" w:color="auto" w:fill="auto"/>
            <w:vAlign w:val="center"/>
          </w:tcPr>
          <w:p w14:paraId="35491C91">
            <w:pPr>
              <w:jc w:val="center"/>
              <w:rPr>
                <w:rFonts w:hint="eastAsia" w:ascii="方正仿宋_GBK" w:eastAsia="方正仿宋_GBK"/>
                <w:color w:val="000000"/>
                <w:sz w:val="18"/>
                <w:szCs w:val="18"/>
              </w:rPr>
            </w:pPr>
            <w:r>
              <w:rPr>
                <w:rFonts w:hint="eastAsia" w:ascii="方正仿宋_GBK" w:eastAsia="方正仿宋_GBK"/>
                <w:color w:val="000000"/>
                <w:sz w:val="18"/>
                <w:szCs w:val="18"/>
              </w:rPr>
              <w:t>≥</w:t>
            </w:r>
          </w:p>
        </w:tc>
        <w:tc>
          <w:tcPr>
            <w:tcW w:w="851" w:type="dxa"/>
            <w:tcBorders>
              <w:top w:val="nil"/>
              <w:left w:val="single" w:color="auto" w:sz="4" w:space="0"/>
              <w:bottom w:val="single" w:color="auto" w:sz="4" w:space="0"/>
              <w:right w:val="single" w:color="auto" w:sz="4" w:space="0"/>
            </w:tcBorders>
            <w:shd w:val="clear" w:color="auto" w:fill="auto"/>
            <w:vAlign w:val="center"/>
          </w:tcPr>
          <w:p w14:paraId="69F734EF">
            <w:pPr>
              <w:jc w:val="center"/>
              <w:rPr>
                <w:rFonts w:hint="eastAsia" w:ascii="方正仿宋_GBK" w:eastAsia="方正仿宋_GBK"/>
                <w:color w:val="000000"/>
                <w:sz w:val="18"/>
                <w:szCs w:val="18"/>
              </w:rPr>
            </w:pPr>
            <w:r>
              <w:rPr>
                <w:rFonts w:hint="eastAsia" w:ascii="方正仿宋_GBK" w:eastAsia="方正仿宋_GBK"/>
                <w:color w:val="000000"/>
                <w:sz w:val="18"/>
                <w:szCs w:val="18"/>
              </w:rPr>
              <w:t>96</w:t>
            </w:r>
          </w:p>
        </w:tc>
        <w:tc>
          <w:tcPr>
            <w:tcW w:w="709" w:type="dxa"/>
            <w:tcBorders>
              <w:top w:val="nil"/>
              <w:left w:val="single" w:color="auto" w:sz="4" w:space="0"/>
              <w:bottom w:val="single" w:color="auto" w:sz="4" w:space="0"/>
              <w:right w:val="single" w:color="auto" w:sz="4" w:space="0"/>
            </w:tcBorders>
            <w:shd w:val="clear" w:color="auto" w:fill="auto"/>
            <w:vAlign w:val="center"/>
          </w:tcPr>
          <w:p w14:paraId="795269AA">
            <w:pPr>
              <w:jc w:val="center"/>
              <w:rPr>
                <w:rFonts w:hint="eastAsia" w:ascii="方正仿宋_GBK" w:eastAsia="方正仿宋_GBK"/>
                <w:color w:val="000000"/>
                <w:sz w:val="18"/>
                <w:szCs w:val="18"/>
              </w:rPr>
            </w:pPr>
            <w:r>
              <w:rPr>
                <w:rFonts w:hint="eastAsia" w:ascii="方正仿宋_GBK" w:eastAsia="方正仿宋_GBK"/>
                <w:color w:val="000000"/>
                <w:sz w:val="18"/>
                <w:szCs w:val="18"/>
              </w:rPr>
              <w:t>10</w:t>
            </w:r>
          </w:p>
        </w:tc>
        <w:tc>
          <w:tcPr>
            <w:tcW w:w="992" w:type="dxa"/>
            <w:tcBorders>
              <w:top w:val="single" w:color="000000" w:sz="4" w:space="0"/>
              <w:left w:val="single" w:color="000000" w:sz="4" w:space="0"/>
              <w:bottom w:val="single" w:color="000000" w:sz="4" w:space="0"/>
              <w:right w:val="single" w:color="000000" w:sz="4" w:space="0"/>
            </w:tcBorders>
            <w:vAlign w:val="center"/>
          </w:tcPr>
          <w:p w14:paraId="3AE7EFB8">
            <w:pPr>
              <w:jc w:val="center"/>
              <w:rPr>
                <w:rFonts w:hint="eastAsia" w:ascii="方正仿宋_GBK" w:hAnsi="方正仿宋_GBK" w:eastAsia="方正仿宋_GBK" w:cs="方正仿宋_GBK"/>
                <w:color w:val="000000"/>
                <w:sz w:val="18"/>
                <w:szCs w:val="18"/>
              </w:rPr>
            </w:pPr>
            <w:r>
              <w:rPr>
                <w:rFonts w:hint="eastAsia" w:ascii="方正仿宋_GBK" w:eastAsia="方正仿宋_GBK"/>
                <w:color w:val="000000"/>
                <w:sz w:val="18"/>
                <w:szCs w:val="18"/>
              </w:rPr>
              <w:t>96</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752FA216">
            <w:pPr>
              <w:jc w:val="center"/>
              <w:rPr>
                <w:rFonts w:hint="eastAsia" w:ascii="方正仿宋_GBK" w:hAnsi="方正仿宋_GBK" w:eastAsia="方正仿宋_GBK" w:cs="方正仿宋_GBK"/>
                <w:color w:val="000000"/>
                <w:sz w:val="18"/>
                <w:szCs w:val="18"/>
              </w:rPr>
            </w:pPr>
            <w:r>
              <w:rPr>
                <w:rFonts w:hint="eastAsia" w:ascii="方正仿宋_GBK" w:eastAsia="方正仿宋_GBK"/>
                <w:color w:val="000000"/>
                <w:sz w:val="18"/>
                <w:szCs w:val="18"/>
              </w:rPr>
              <w:t>10</w:t>
            </w:r>
          </w:p>
        </w:tc>
        <w:tc>
          <w:tcPr>
            <w:tcW w:w="1701" w:type="dxa"/>
            <w:gridSpan w:val="2"/>
            <w:tcBorders>
              <w:top w:val="single" w:color="000000" w:sz="4" w:space="0"/>
              <w:left w:val="single" w:color="000000" w:sz="4" w:space="0"/>
              <w:bottom w:val="single" w:color="000000" w:sz="4" w:space="0"/>
              <w:right w:val="single" w:color="000000" w:sz="4" w:space="0"/>
            </w:tcBorders>
            <w:vAlign w:val="center"/>
          </w:tcPr>
          <w:p w14:paraId="3CE67E12">
            <w:pPr>
              <w:rPr>
                <w:rFonts w:hint="eastAsia" w:ascii="方正仿宋_GBK" w:hAnsi="宋体" w:eastAsia="方正仿宋_GBK" w:cs="宋体"/>
                <w:color w:val="000000"/>
                <w:sz w:val="18"/>
                <w:szCs w:val="18"/>
              </w:rPr>
            </w:pPr>
          </w:p>
        </w:tc>
      </w:tr>
      <w:tr w14:paraId="4D1765CA">
        <w:tblPrEx>
          <w:tblCellMar>
            <w:top w:w="0" w:type="dxa"/>
            <w:left w:w="108" w:type="dxa"/>
            <w:bottom w:w="0" w:type="dxa"/>
            <w:right w:w="108" w:type="dxa"/>
          </w:tblCellMar>
        </w:tblPrEx>
        <w:trPr>
          <w:trHeight w:val="212" w:hRule="atLeast"/>
        </w:trPr>
        <w:tc>
          <w:tcPr>
            <w:tcW w:w="658" w:type="dxa"/>
            <w:vMerge w:val="continue"/>
            <w:tcBorders>
              <w:top w:val="single" w:color="000000" w:sz="4" w:space="0"/>
              <w:left w:val="single" w:color="000000" w:sz="4" w:space="0"/>
              <w:bottom w:val="single" w:color="000000" w:sz="4" w:space="0"/>
              <w:right w:val="single" w:color="000000" w:sz="4" w:space="0"/>
            </w:tcBorders>
            <w:textDirection w:val="tbRlV"/>
            <w:vAlign w:val="center"/>
          </w:tcPr>
          <w:p w14:paraId="229D4860">
            <w:pPr>
              <w:jc w:val="center"/>
              <w:rPr>
                <w:rFonts w:hint="eastAsia" w:ascii="方正仿宋_GBK" w:hAnsi="方正仿宋_GBK" w:eastAsia="方正仿宋_GBK" w:cs="方正仿宋_GBK"/>
                <w:color w:val="000000"/>
                <w:sz w:val="18"/>
                <w:szCs w:val="18"/>
              </w:rPr>
            </w:pPr>
          </w:p>
        </w:tc>
        <w:tc>
          <w:tcPr>
            <w:tcW w:w="1293" w:type="dxa"/>
            <w:tcBorders>
              <w:top w:val="single" w:color="000000" w:sz="4" w:space="0"/>
              <w:left w:val="single" w:color="000000" w:sz="4" w:space="0"/>
              <w:bottom w:val="single" w:color="000000" w:sz="4" w:space="0"/>
              <w:right w:val="single" w:color="000000" w:sz="4" w:space="0"/>
            </w:tcBorders>
            <w:vAlign w:val="center"/>
          </w:tcPr>
          <w:p w14:paraId="120244BB">
            <w:pPr>
              <w:spacing w:line="240" w:lineRule="exact"/>
              <w:jc w:val="center"/>
              <w:rPr>
                <w:rFonts w:hint="eastAsia" w:ascii="方正仿宋_GBK" w:eastAsia="方正仿宋_GBK"/>
                <w:sz w:val="18"/>
                <w:szCs w:val="18"/>
              </w:rPr>
            </w:pPr>
            <w:r>
              <w:rPr>
                <w:rFonts w:hint="eastAsia" w:ascii="方正仿宋_GBK" w:eastAsia="方正仿宋_GBK"/>
                <w:sz w:val="18"/>
                <w:szCs w:val="18"/>
              </w:rPr>
              <w:t>预算执行完成率</w:t>
            </w:r>
          </w:p>
        </w:tc>
        <w:tc>
          <w:tcPr>
            <w:tcW w:w="709" w:type="dxa"/>
            <w:tcBorders>
              <w:top w:val="single" w:color="000000" w:sz="4" w:space="0"/>
              <w:left w:val="single" w:color="000000" w:sz="4" w:space="0"/>
              <w:bottom w:val="single" w:color="000000" w:sz="4" w:space="0"/>
              <w:right w:val="single" w:color="000000" w:sz="4" w:space="0"/>
            </w:tcBorders>
            <w:vAlign w:val="center"/>
          </w:tcPr>
          <w:p w14:paraId="6F2024BF">
            <w:pPr>
              <w:jc w:val="center"/>
              <w:rPr>
                <w:rFonts w:hint="eastAsia" w:ascii="方正仿宋_GBK" w:eastAsia="方正仿宋_GBK"/>
                <w:sz w:val="18"/>
                <w:szCs w:val="18"/>
              </w:rPr>
            </w:pPr>
            <w:r>
              <w:rPr>
                <w:rFonts w:hint="eastAsia" w:ascii="方正仿宋_GBK" w:eastAsia="方正仿宋_GBK"/>
                <w:sz w:val="18"/>
                <w:szCs w:val="18"/>
              </w:rPr>
              <w:t>%</w:t>
            </w:r>
          </w:p>
        </w:tc>
        <w:tc>
          <w:tcPr>
            <w:tcW w:w="850" w:type="dxa"/>
            <w:tcBorders>
              <w:top w:val="single" w:color="000000" w:sz="4" w:space="0"/>
              <w:left w:val="single" w:color="000000" w:sz="4" w:space="0"/>
              <w:bottom w:val="single" w:color="000000" w:sz="4" w:space="0"/>
              <w:right w:val="single" w:color="000000" w:sz="4" w:space="0"/>
            </w:tcBorders>
            <w:vAlign w:val="center"/>
          </w:tcPr>
          <w:p w14:paraId="3EBEA6E5">
            <w:pPr>
              <w:jc w:val="center"/>
              <w:rPr>
                <w:rFonts w:hint="eastAsia" w:ascii="方正仿宋_GBK" w:eastAsia="方正仿宋_GBK"/>
                <w:sz w:val="18"/>
                <w:szCs w:val="18"/>
              </w:rPr>
            </w:pPr>
            <w:r>
              <w:rPr>
                <w:rFonts w:hint="eastAsia" w:ascii="方正仿宋_GBK" w:eastAsia="方正仿宋_GBK"/>
                <w:sz w:val="18"/>
                <w:szCs w:val="18"/>
              </w:rPr>
              <w:t>=</w:t>
            </w:r>
          </w:p>
        </w:tc>
        <w:tc>
          <w:tcPr>
            <w:tcW w:w="851" w:type="dxa"/>
            <w:tcBorders>
              <w:top w:val="single" w:color="000000" w:sz="4" w:space="0"/>
              <w:left w:val="single" w:color="000000" w:sz="4" w:space="0"/>
              <w:bottom w:val="single" w:color="000000" w:sz="4" w:space="0"/>
              <w:right w:val="single" w:color="000000" w:sz="4" w:space="0"/>
            </w:tcBorders>
            <w:vAlign w:val="center"/>
          </w:tcPr>
          <w:p w14:paraId="1D4D6207">
            <w:pPr>
              <w:jc w:val="center"/>
              <w:rPr>
                <w:rFonts w:hint="eastAsia" w:ascii="方正仿宋_GBK" w:eastAsia="方正仿宋_GBK"/>
                <w:sz w:val="18"/>
                <w:szCs w:val="18"/>
              </w:rPr>
            </w:pPr>
            <w:r>
              <w:rPr>
                <w:rFonts w:hint="eastAsia" w:ascii="方正仿宋_GBK" w:eastAsia="方正仿宋_GBK"/>
                <w:sz w:val="18"/>
                <w:szCs w:val="18"/>
              </w:rPr>
              <w:t>100</w:t>
            </w:r>
          </w:p>
        </w:tc>
        <w:tc>
          <w:tcPr>
            <w:tcW w:w="709" w:type="dxa"/>
            <w:tcBorders>
              <w:top w:val="single" w:color="000000" w:sz="4" w:space="0"/>
              <w:left w:val="single" w:color="000000" w:sz="4" w:space="0"/>
              <w:bottom w:val="single" w:color="000000" w:sz="4" w:space="0"/>
              <w:right w:val="single" w:color="000000" w:sz="4" w:space="0"/>
            </w:tcBorders>
            <w:vAlign w:val="center"/>
          </w:tcPr>
          <w:p w14:paraId="39F0E69A">
            <w:pPr>
              <w:jc w:val="center"/>
              <w:rPr>
                <w:rFonts w:hint="eastAsia" w:ascii="方正仿宋_GBK" w:eastAsia="方正仿宋_GBK"/>
                <w:sz w:val="18"/>
                <w:szCs w:val="18"/>
              </w:rPr>
            </w:pPr>
            <w:r>
              <w:rPr>
                <w:rFonts w:hint="eastAsia" w:ascii="方正仿宋_GBK" w:eastAsia="方正仿宋_GBK"/>
                <w:sz w:val="18"/>
                <w:szCs w:val="18"/>
              </w:rPr>
              <w:t>10</w:t>
            </w:r>
          </w:p>
        </w:tc>
        <w:tc>
          <w:tcPr>
            <w:tcW w:w="992" w:type="dxa"/>
            <w:tcBorders>
              <w:top w:val="single" w:color="000000" w:sz="4" w:space="0"/>
              <w:left w:val="single" w:color="000000" w:sz="4" w:space="0"/>
              <w:bottom w:val="single" w:color="000000" w:sz="4" w:space="0"/>
              <w:right w:val="single" w:color="000000" w:sz="4" w:space="0"/>
            </w:tcBorders>
            <w:vAlign w:val="center"/>
          </w:tcPr>
          <w:p w14:paraId="7EFA29FD">
            <w:pPr>
              <w:jc w:val="center"/>
              <w:rPr>
                <w:rFonts w:hint="eastAsia" w:ascii="方正仿宋_GBK" w:eastAsia="方正仿宋_GBK"/>
                <w:sz w:val="18"/>
                <w:szCs w:val="18"/>
              </w:rPr>
            </w:pPr>
            <w:r>
              <w:rPr>
                <w:rFonts w:hint="eastAsia" w:ascii="方正仿宋_GBK" w:eastAsia="方正仿宋_GBK"/>
                <w:sz w:val="18"/>
                <w:szCs w:val="18"/>
              </w:rPr>
              <w:t>95.49</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06B0EF1E">
            <w:pPr>
              <w:jc w:val="center"/>
              <w:rPr>
                <w:rFonts w:hint="eastAsia" w:ascii="方正仿宋_GBK" w:eastAsia="方正仿宋_GBK"/>
                <w:sz w:val="18"/>
                <w:szCs w:val="18"/>
              </w:rPr>
            </w:pPr>
            <w:r>
              <w:rPr>
                <w:rFonts w:hint="eastAsia" w:ascii="方正仿宋_GBK" w:eastAsia="方正仿宋_GBK"/>
                <w:sz w:val="18"/>
                <w:szCs w:val="18"/>
              </w:rPr>
              <w:t>9.55</w:t>
            </w:r>
          </w:p>
        </w:tc>
        <w:tc>
          <w:tcPr>
            <w:tcW w:w="1701" w:type="dxa"/>
            <w:gridSpan w:val="2"/>
            <w:tcBorders>
              <w:top w:val="single" w:color="000000" w:sz="4" w:space="0"/>
              <w:left w:val="single" w:color="000000" w:sz="4" w:space="0"/>
              <w:bottom w:val="single" w:color="000000" w:sz="4" w:space="0"/>
              <w:right w:val="single" w:color="000000" w:sz="4" w:space="0"/>
            </w:tcBorders>
            <w:vAlign w:val="center"/>
          </w:tcPr>
          <w:p w14:paraId="5CAAD8CC">
            <w:pPr>
              <w:spacing w:line="240" w:lineRule="exact"/>
              <w:jc w:val="left"/>
              <w:rPr>
                <w:rFonts w:hint="eastAsia" w:ascii="方正仿宋_GBK" w:eastAsia="方正仿宋_GBK"/>
                <w:sz w:val="18"/>
                <w:szCs w:val="18"/>
              </w:rPr>
            </w:pPr>
          </w:p>
        </w:tc>
      </w:tr>
    </w:tbl>
    <w:p w14:paraId="2A1A8B5B">
      <w:pPr>
        <w:spacing w:line="560" w:lineRule="exact"/>
        <w:ind w:firstLine="643" w:firstLineChars="200"/>
        <w:rPr>
          <w:rFonts w:ascii="方正仿宋_GBK" w:eastAsia="方正仿宋_GBK"/>
          <w:b/>
          <w:bCs/>
          <w:sz w:val="32"/>
          <w:szCs w:val="32"/>
        </w:rPr>
      </w:pPr>
      <w:r>
        <w:rPr>
          <w:rFonts w:hint="eastAsia" w:ascii="方正仿宋_GBK" w:eastAsia="方正仿宋_GBK"/>
          <w:b/>
          <w:bCs/>
          <w:sz w:val="32"/>
          <w:szCs w:val="32"/>
        </w:rPr>
        <w:t>2.一般性项目绩效自评表</w:t>
      </w:r>
    </w:p>
    <w:tbl>
      <w:tblPr>
        <w:tblStyle w:val="5"/>
        <w:tblW w:w="8804" w:type="dxa"/>
        <w:tblInd w:w="93" w:type="dxa"/>
        <w:tblLayout w:type="fixed"/>
        <w:tblCellMar>
          <w:top w:w="0" w:type="dxa"/>
          <w:left w:w="108" w:type="dxa"/>
          <w:bottom w:w="0" w:type="dxa"/>
          <w:right w:w="108" w:type="dxa"/>
        </w:tblCellMar>
      </w:tblPr>
      <w:tblGrid>
        <w:gridCol w:w="436"/>
        <w:gridCol w:w="713"/>
        <w:gridCol w:w="1418"/>
        <w:gridCol w:w="850"/>
        <w:gridCol w:w="993"/>
        <w:gridCol w:w="708"/>
        <w:gridCol w:w="709"/>
        <w:gridCol w:w="851"/>
        <w:gridCol w:w="708"/>
        <w:gridCol w:w="600"/>
        <w:gridCol w:w="818"/>
      </w:tblGrid>
      <w:tr w14:paraId="4783783A">
        <w:tblPrEx>
          <w:tblCellMar>
            <w:top w:w="0" w:type="dxa"/>
            <w:left w:w="108" w:type="dxa"/>
            <w:bottom w:w="0" w:type="dxa"/>
            <w:right w:w="108" w:type="dxa"/>
          </w:tblCellMar>
        </w:tblPrEx>
        <w:trPr>
          <w:trHeight w:val="780" w:hRule="atLeast"/>
        </w:trPr>
        <w:tc>
          <w:tcPr>
            <w:tcW w:w="8804" w:type="dxa"/>
            <w:gridSpan w:val="11"/>
            <w:tcBorders>
              <w:top w:val="nil"/>
              <w:left w:val="nil"/>
              <w:bottom w:val="single" w:color="000000" w:sz="4" w:space="0"/>
              <w:right w:val="nil"/>
            </w:tcBorders>
            <w:noWrap/>
            <w:vAlign w:val="center"/>
          </w:tcPr>
          <w:p w14:paraId="59D7CA7F">
            <w:pPr>
              <w:widowControl/>
              <w:jc w:val="center"/>
              <w:textAlignment w:val="center"/>
              <w:rPr>
                <w:rFonts w:hint="eastAsia" w:ascii="方正小标宋_GBK" w:hAnsi="方正小标宋_GBK" w:eastAsia="方正小标宋_GBK" w:cs="方正小标宋_GBK"/>
                <w:color w:val="000000"/>
                <w:kern w:val="0"/>
                <w:sz w:val="32"/>
                <w:szCs w:val="32"/>
                <w:lang w:bidi="ar"/>
              </w:rPr>
            </w:pPr>
            <w:r>
              <w:rPr>
                <w:rFonts w:hint="eastAsia" w:ascii="方正小标宋_GBK" w:hAnsi="方正小标宋_GBK" w:eastAsia="方正小标宋_GBK" w:cs="方正小标宋_GBK"/>
                <w:color w:val="000000"/>
                <w:kern w:val="0"/>
                <w:sz w:val="32"/>
                <w:szCs w:val="32"/>
                <w:lang w:bidi="ar"/>
              </w:rPr>
              <w:t>重庆市公安局高新区分局2022年度项目支出</w:t>
            </w:r>
          </w:p>
          <w:p w14:paraId="2D67B2A7">
            <w:pPr>
              <w:widowControl/>
              <w:jc w:val="center"/>
              <w:textAlignment w:val="center"/>
              <w:rPr>
                <w:rFonts w:hint="eastAsia" w:ascii="方正仿宋_GBK" w:hAnsi="方正小标宋_GBK" w:eastAsia="方正仿宋_GBK" w:cs="方正小标宋_GBK"/>
                <w:color w:val="000000"/>
                <w:sz w:val="18"/>
                <w:szCs w:val="18"/>
              </w:rPr>
            </w:pPr>
            <w:r>
              <w:rPr>
                <w:rFonts w:hint="eastAsia" w:ascii="方正小标宋_GBK" w:hAnsi="方正小标宋_GBK" w:eastAsia="方正小标宋_GBK" w:cs="方正小标宋_GBK"/>
                <w:color w:val="000000"/>
                <w:kern w:val="0"/>
                <w:sz w:val="32"/>
                <w:szCs w:val="32"/>
                <w:lang w:bidi="ar"/>
              </w:rPr>
              <w:t>绩效自评表（二级项目）</w:t>
            </w:r>
          </w:p>
        </w:tc>
      </w:tr>
      <w:tr w14:paraId="55536ACE">
        <w:tblPrEx>
          <w:tblCellMar>
            <w:top w:w="0" w:type="dxa"/>
            <w:left w:w="108" w:type="dxa"/>
            <w:bottom w:w="0" w:type="dxa"/>
            <w:right w:w="108" w:type="dxa"/>
          </w:tblCellMar>
        </w:tblPrEx>
        <w:trPr>
          <w:trHeight w:val="600" w:hRule="atLeast"/>
        </w:trPr>
        <w:tc>
          <w:tcPr>
            <w:tcW w:w="436" w:type="dxa"/>
            <w:tcBorders>
              <w:top w:val="single" w:color="000000" w:sz="4" w:space="0"/>
              <w:left w:val="single" w:color="000000" w:sz="4" w:space="0"/>
              <w:bottom w:val="single" w:color="000000" w:sz="4" w:space="0"/>
              <w:right w:val="single" w:color="000000" w:sz="4" w:space="0"/>
            </w:tcBorders>
            <w:vAlign w:val="center"/>
          </w:tcPr>
          <w:p w14:paraId="7010CA6B">
            <w:pPr>
              <w:widowControl/>
              <w:jc w:val="center"/>
              <w:textAlignment w:val="center"/>
              <w:rPr>
                <w:rFonts w:hint="eastAsia" w:ascii="方正仿宋_GBK" w:hAnsi="方正黑体_GBK" w:eastAsia="方正仿宋_GBK" w:cs="方正黑体_GBK"/>
                <w:color w:val="000000"/>
                <w:sz w:val="18"/>
                <w:szCs w:val="18"/>
              </w:rPr>
            </w:pPr>
            <w:r>
              <w:rPr>
                <w:rFonts w:hint="eastAsia" w:ascii="方正仿宋_GBK" w:hAnsi="方正黑体_GBK" w:eastAsia="方正仿宋_GBK" w:cs="方正黑体_GBK"/>
                <w:color w:val="000000"/>
                <w:kern w:val="0"/>
                <w:sz w:val="18"/>
                <w:szCs w:val="18"/>
                <w:lang w:bidi="ar"/>
              </w:rPr>
              <w:t>序号</w:t>
            </w:r>
          </w:p>
        </w:tc>
        <w:tc>
          <w:tcPr>
            <w:tcW w:w="713" w:type="dxa"/>
            <w:tcBorders>
              <w:top w:val="single" w:color="000000" w:sz="4" w:space="0"/>
              <w:left w:val="single" w:color="000000" w:sz="4" w:space="0"/>
              <w:bottom w:val="single" w:color="000000" w:sz="4" w:space="0"/>
              <w:right w:val="single" w:color="000000" w:sz="4" w:space="0"/>
            </w:tcBorders>
            <w:vAlign w:val="center"/>
          </w:tcPr>
          <w:p w14:paraId="31F0754F">
            <w:pPr>
              <w:widowControl/>
              <w:jc w:val="center"/>
              <w:textAlignment w:val="center"/>
              <w:rPr>
                <w:rFonts w:hint="eastAsia" w:ascii="方正仿宋_GBK" w:hAnsi="方正黑体_GBK" w:eastAsia="方正仿宋_GBK" w:cs="方正黑体_GBK"/>
                <w:color w:val="000000"/>
                <w:sz w:val="18"/>
                <w:szCs w:val="18"/>
              </w:rPr>
            </w:pPr>
            <w:r>
              <w:rPr>
                <w:rFonts w:hint="eastAsia" w:ascii="方正仿宋_GBK" w:hAnsi="方正黑体_GBK" w:eastAsia="方正仿宋_GBK" w:cs="方正黑体_GBK"/>
                <w:color w:val="000000"/>
                <w:kern w:val="0"/>
                <w:sz w:val="18"/>
                <w:szCs w:val="18"/>
                <w:lang w:bidi="ar"/>
              </w:rPr>
              <w:t>项目名称</w:t>
            </w:r>
          </w:p>
        </w:tc>
        <w:tc>
          <w:tcPr>
            <w:tcW w:w="1418" w:type="dxa"/>
            <w:tcBorders>
              <w:top w:val="single" w:color="000000" w:sz="4" w:space="0"/>
              <w:left w:val="single" w:color="000000" w:sz="4" w:space="0"/>
              <w:bottom w:val="single" w:color="000000" w:sz="4" w:space="0"/>
              <w:right w:val="single" w:color="000000" w:sz="4" w:space="0"/>
            </w:tcBorders>
            <w:vAlign w:val="center"/>
          </w:tcPr>
          <w:p w14:paraId="23537987">
            <w:pPr>
              <w:widowControl/>
              <w:jc w:val="center"/>
              <w:textAlignment w:val="center"/>
              <w:rPr>
                <w:rFonts w:hint="eastAsia" w:ascii="方正仿宋_GBK" w:hAnsi="方正黑体_GBK" w:eastAsia="方正仿宋_GBK" w:cs="方正黑体_GBK"/>
                <w:color w:val="000000"/>
                <w:sz w:val="18"/>
                <w:szCs w:val="18"/>
              </w:rPr>
            </w:pPr>
            <w:r>
              <w:rPr>
                <w:rFonts w:hint="eastAsia" w:ascii="方正仿宋_GBK" w:hAnsi="方正黑体_GBK" w:eastAsia="方正仿宋_GBK" w:cs="方正黑体_GBK"/>
                <w:color w:val="000000"/>
                <w:kern w:val="0"/>
                <w:sz w:val="18"/>
                <w:szCs w:val="18"/>
                <w:lang w:bidi="ar"/>
              </w:rPr>
              <w:t>指标名称</w:t>
            </w:r>
          </w:p>
        </w:tc>
        <w:tc>
          <w:tcPr>
            <w:tcW w:w="850" w:type="dxa"/>
            <w:tcBorders>
              <w:top w:val="single" w:color="000000" w:sz="4" w:space="0"/>
              <w:left w:val="single" w:color="000000" w:sz="4" w:space="0"/>
              <w:bottom w:val="single" w:color="000000" w:sz="4" w:space="0"/>
              <w:right w:val="single" w:color="000000" w:sz="4" w:space="0"/>
            </w:tcBorders>
            <w:vAlign w:val="center"/>
          </w:tcPr>
          <w:p w14:paraId="57955183">
            <w:pPr>
              <w:widowControl/>
              <w:jc w:val="center"/>
              <w:textAlignment w:val="center"/>
              <w:rPr>
                <w:rFonts w:hint="eastAsia" w:ascii="方正仿宋_GBK" w:hAnsi="方正黑体_GBK" w:eastAsia="方正仿宋_GBK" w:cs="方正黑体_GBK"/>
                <w:color w:val="000000"/>
                <w:sz w:val="18"/>
                <w:szCs w:val="18"/>
              </w:rPr>
            </w:pPr>
            <w:r>
              <w:rPr>
                <w:rFonts w:hint="eastAsia" w:ascii="方正仿宋_GBK" w:hAnsi="方正黑体_GBK" w:eastAsia="方正仿宋_GBK" w:cs="方正黑体_GBK"/>
                <w:color w:val="000000"/>
                <w:kern w:val="0"/>
                <w:sz w:val="18"/>
                <w:szCs w:val="18"/>
                <w:lang w:bidi="ar"/>
              </w:rPr>
              <w:t>指标性质</w:t>
            </w:r>
          </w:p>
        </w:tc>
        <w:tc>
          <w:tcPr>
            <w:tcW w:w="993" w:type="dxa"/>
            <w:tcBorders>
              <w:top w:val="single" w:color="000000" w:sz="4" w:space="0"/>
              <w:left w:val="single" w:color="000000" w:sz="4" w:space="0"/>
              <w:bottom w:val="single" w:color="000000" w:sz="4" w:space="0"/>
              <w:right w:val="single" w:color="000000" w:sz="4" w:space="0"/>
            </w:tcBorders>
            <w:vAlign w:val="center"/>
          </w:tcPr>
          <w:p w14:paraId="4CC10E55">
            <w:pPr>
              <w:widowControl/>
              <w:jc w:val="center"/>
              <w:textAlignment w:val="center"/>
              <w:rPr>
                <w:rFonts w:hint="eastAsia" w:ascii="方正仿宋_GBK" w:hAnsi="方正黑体_GBK" w:eastAsia="方正仿宋_GBK" w:cs="方正黑体_GBK"/>
                <w:color w:val="000000"/>
                <w:sz w:val="18"/>
                <w:szCs w:val="18"/>
              </w:rPr>
            </w:pPr>
            <w:r>
              <w:rPr>
                <w:rFonts w:hint="eastAsia" w:ascii="方正仿宋_GBK" w:hAnsi="方正黑体_GBK" w:eastAsia="方正仿宋_GBK" w:cs="方正黑体_GBK"/>
                <w:color w:val="000000"/>
                <w:kern w:val="0"/>
                <w:sz w:val="18"/>
                <w:szCs w:val="18"/>
                <w:lang w:bidi="ar"/>
              </w:rPr>
              <w:t>指标值</w:t>
            </w:r>
          </w:p>
        </w:tc>
        <w:tc>
          <w:tcPr>
            <w:tcW w:w="708" w:type="dxa"/>
            <w:tcBorders>
              <w:top w:val="single" w:color="000000" w:sz="4" w:space="0"/>
              <w:left w:val="single" w:color="000000" w:sz="4" w:space="0"/>
              <w:bottom w:val="single" w:color="000000" w:sz="4" w:space="0"/>
              <w:right w:val="single" w:color="000000" w:sz="4" w:space="0"/>
            </w:tcBorders>
            <w:vAlign w:val="center"/>
          </w:tcPr>
          <w:p w14:paraId="02C2B7AC">
            <w:pPr>
              <w:widowControl/>
              <w:jc w:val="center"/>
              <w:textAlignment w:val="center"/>
              <w:rPr>
                <w:rFonts w:hint="eastAsia" w:ascii="方正仿宋_GBK" w:hAnsi="方正黑体_GBK" w:eastAsia="方正仿宋_GBK" w:cs="方正黑体_GBK"/>
                <w:color w:val="000000"/>
                <w:sz w:val="18"/>
                <w:szCs w:val="18"/>
              </w:rPr>
            </w:pPr>
            <w:r>
              <w:rPr>
                <w:rFonts w:hint="eastAsia" w:ascii="方正仿宋_GBK" w:hAnsi="方正黑体_GBK" w:eastAsia="方正仿宋_GBK" w:cs="方正黑体_GBK"/>
                <w:color w:val="000000"/>
                <w:kern w:val="0"/>
                <w:sz w:val="18"/>
                <w:szCs w:val="18"/>
                <w:lang w:bidi="ar"/>
              </w:rPr>
              <w:t>计量单位</w:t>
            </w:r>
          </w:p>
        </w:tc>
        <w:tc>
          <w:tcPr>
            <w:tcW w:w="709" w:type="dxa"/>
            <w:tcBorders>
              <w:top w:val="single" w:color="000000" w:sz="4" w:space="0"/>
              <w:left w:val="single" w:color="000000" w:sz="4" w:space="0"/>
              <w:bottom w:val="single" w:color="000000" w:sz="4" w:space="0"/>
              <w:right w:val="single" w:color="000000" w:sz="4" w:space="0"/>
            </w:tcBorders>
            <w:vAlign w:val="center"/>
          </w:tcPr>
          <w:p w14:paraId="660A15FE">
            <w:pPr>
              <w:widowControl/>
              <w:jc w:val="center"/>
              <w:textAlignment w:val="center"/>
              <w:rPr>
                <w:rFonts w:hint="eastAsia" w:ascii="方正仿宋_GBK" w:hAnsi="方正黑体_GBK" w:eastAsia="方正仿宋_GBK" w:cs="方正黑体_GBK"/>
                <w:color w:val="000000"/>
                <w:sz w:val="18"/>
                <w:szCs w:val="18"/>
              </w:rPr>
            </w:pPr>
            <w:r>
              <w:rPr>
                <w:rFonts w:hint="eastAsia" w:ascii="方正仿宋_GBK" w:hAnsi="方正黑体_GBK" w:eastAsia="方正仿宋_GBK" w:cs="方正黑体_GBK"/>
                <w:color w:val="000000"/>
                <w:kern w:val="0"/>
                <w:sz w:val="18"/>
                <w:szCs w:val="18"/>
                <w:lang w:bidi="ar"/>
              </w:rPr>
              <w:t>指标权重</w:t>
            </w:r>
          </w:p>
        </w:tc>
        <w:tc>
          <w:tcPr>
            <w:tcW w:w="851" w:type="dxa"/>
            <w:tcBorders>
              <w:top w:val="single" w:color="000000" w:sz="4" w:space="0"/>
              <w:left w:val="single" w:color="000000" w:sz="4" w:space="0"/>
              <w:bottom w:val="single" w:color="000000" w:sz="4" w:space="0"/>
              <w:right w:val="single" w:color="000000" w:sz="4" w:space="0"/>
            </w:tcBorders>
            <w:vAlign w:val="center"/>
          </w:tcPr>
          <w:p w14:paraId="46AA3BA4">
            <w:pPr>
              <w:widowControl/>
              <w:jc w:val="center"/>
              <w:textAlignment w:val="center"/>
              <w:rPr>
                <w:rFonts w:hint="eastAsia" w:ascii="方正仿宋_GBK" w:hAnsi="方正黑体_GBK" w:eastAsia="方正仿宋_GBK" w:cs="方正黑体_GBK"/>
                <w:color w:val="000000"/>
                <w:sz w:val="18"/>
                <w:szCs w:val="18"/>
              </w:rPr>
            </w:pPr>
            <w:r>
              <w:rPr>
                <w:rFonts w:hint="eastAsia" w:ascii="方正仿宋_GBK" w:hAnsi="方正黑体_GBK" w:eastAsia="方正仿宋_GBK" w:cs="方正黑体_GBK"/>
                <w:color w:val="000000"/>
                <w:kern w:val="0"/>
                <w:sz w:val="18"/>
                <w:szCs w:val="18"/>
                <w:lang w:bidi="ar"/>
              </w:rPr>
              <w:t>全年完成值</w:t>
            </w:r>
          </w:p>
        </w:tc>
        <w:tc>
          <w:tcPr>
            <w:tcW w:w="708" w:type="dxa"/>
            <w:tcBorders>
              <w:top w:val="single" w:color="000000" w:sz="4" w:space="0"/>
              <w:left w:val="single" w:color="000000" w:sz="4" w:space="0"/>
              <w:bottom w:val="single" w:color="000000" w:sz="4" w:space="0"/>
              <w:right w:val="single" w:color="000000" w:sz="4" w:space="0"/>
            </w:tcBorders>
            <w:vAlign w:val="center"/>
          </w:tcPr>
          <w:p w14:paraId="349DF7C5">
            <w:pPr>
              <w:widowControl/>
              <w:jc w:val="center"/>
              <w:textAlignment w:val="center"/>
              <w:rPr>
                <w:rFonts w:hint="eastAsia" w:ascii="方正仿宋_GBK" w:hAnsi="方正黑体_GBK" w:eastAsia="方正仿宋_GBK" w:cs="方正黑体_GBK"/>
                <w:color w:val="000000"/>
                <w:sz w:val="18"/>
                <w:szCs w:val="18"/>
              </w:rPr>
            </w:pPr>
            <w:r>
              <w:rPr>
                <w:rFonts w:hint="eastAsia" w:ascii="方正仿宋_GBK" w:hAnsi="方正黑体_GBK" w:eastAsia="方正仿宋_GBK" w:cs="方正黑体_GBK"/>
                <w:color w:val="000000"/>
                <w:kern w:val="0"/>
                <w:sz w:val="18"/>
                <w:szCs w:val="18"/>
                <w:lang w:bidi="ar"/>
              </w:rPr>
              <w:t>指标得分</w:t>
            </w:r>
          </w:p>
        </w:tc>
        <w:tc>
          <w:tcPr>
            <w:tcW w:w="600" w:type="dxa"/>
            <w:tcBorders>
              <w:top w:val="single" w:color="000000" w:sz="4" w:space="0"/>
              <w:left w:val="single" w:color="000000" w:sz="4" w:space="0"/>
              <w:bottom w:val="single" w:color="000000" w:sz="4" w:space="0"/>
              <w:right w:val="single" w:color="000000" w:sz="4" w:space="0"/>
            </w:tcBorders>
            <w:vAlign w:val="center"/>
          </w:tcPr>
          <w:p w14:paraId="37CAB0B8">
            <w:pPr>
              <w:widowControl/>
              <w:jc w:val="center"/>
              <w:textAlignment w:val="center"/>
              <w:rPr>
                <w:rFonts w:hint="eastAsia" w:ascii="方正仿宋_GBK" w:hAnsi="方正黑体_GBK" w:eastAsia="方正仿宋_GBK" w:cs="方正黑体_GBK"/>
                <w:color w:val="000000"/>
                <w:sz w:val="18"/>
                <w:szCs w:val="18"/>
              </w:rPr>
            </w:pPr>
            <w:r>
              <w:rPr>
                <w:rFonts w:hint="eastAsia" w:ascii="方正仿宋_GBK" w:hAnsi="方正黑体_GBK" w:eastAsia="方正仿宋_GBK" w:cs="方正黑体_GBK"/>
                <w:color w:val="000000"/>
                <w:kern w:val="0"/>
                <w:sz w:val="18"/>
                <w:szCs w:val="18"/>
                <w:lang w:bidi="ar"/>
              </w:rPr>
              <w:t>说明</w:t>
            </w:r>
          </w:p>
        </w:tc>
        <w:tc>
          <w:tcPr>
            <w:tcW w:w="818" w:type="dxa"/>
            <w:tcBorders>
              <w:top w:val="single" w:color="000000" w:sz="4" w:space="0"/>
              <w:left w:val="single" w:color="000000" w:sz="4" w:space="0"/>
              <w:bottom w:val="single" w:color="000000" w:sz="4" w:space="0"/>
              <w:right w:val="single" w:color="000000" w:sz="4" w:space="0"/>
            </w:tcBorders>
            <w:vAlign w:val="center"/>
          </w:tcPr>
          <w:p w14:paraId="3D8E28E8">
            <w:pPr>
              <w:widowControl/>
              <w:jc w:val="center"/>
              <w:textAlignment w:val="center"/>
              <w:rPr>
                <w:rFonts w:hint="eastAsia" w:ascii="方正仿宋_GBK" w:hAnsi="方正黑体_GBK" w:eastAsia="方正仿宋_GBK" w:cs="方正黑体_GBK"/>
                <w:color w:val="000000"/>
                <w:sz w:val="18"/>
                <w:szCs w:val="18"/>
              </w:rPr>
            </w:pPr>
            <w:r>
              <w:rPr>
                <w:rFonts w:hint="eastAsia" w:ascii="方正仿宋_GBK" w:hAnsi="方正黑体_GBK" w:eastAsia="方正仿宋_GBK" w:cs="方正黑体_GBK"/>
                <w:color w:val="000000"/>
                <w:kern w:val="0"/>
                <w:sz w:val="18"/>
                <w:szCs w:val="18"/>
                <w:lang w:bidi="ar"/>
              </w:rPr>
              <w:t>自评得分</w:t>
            </w:r>
          </w:p>
        </w:tc>
      </w:tr>
      <w:tr w14:paraId="20D4B777">
        <w:tblPrEx>
          <w:tblCellMar>
            <w:top w:w="0" w:type="dxa"/>
            <w:left w:w="108" w:type="dxa"/>
            <w:bottom w:w="0" w:type="dxa"/>
            <w:right w:w="108" w:type="dxa"/>
          </w:tblCellMar>
        </w:tblPrEx>
        <w:trPr>
          <w:trHeight w:val="432" w:hRule="atLeast"/>
        </w:trPr>
        <w:tc>
          <w:tcPr>
            <w:tcW w:w="436" w:type="dxa"/>
            <w:vMerge w:val="restart"/>
            <w:tcBorders>
              <w:top w:val="single" w:color="000000" w:sz="4" w:space="0"/>
              <w:left w:val="single" w:color="000000" w:sz="4" w:space="0"/>
              <w:right w:val="single" w:color="000000" w:sz="4" w:space="0"/>
            </w:tcBorders>
            <w:noWrap/>
            <w:vAlign w:val="center"/>
          </w:tcPr>
          <w:p w14:paraId="40039C55">
            <w:pPr>
              <w:jc w:val="center"/>
              <w:textAlignment w:val="center"/>
              <w:rPr>
                <w:rFonts w:hint="eastAsia" w:ascii="方正仿宋_GBK" w:eastAsia="方正仿宋_GBK"/>
                <w:color w:val="000000"/>
                <w:sz w:val="18"/>
                <w:szCs w:val="18"/>
              </w:rPr>
            </w:pPr>
            <w:r>
              <w:rPr>
                <w:rFonts w:hint="eastAsia" w:ascii="方正仿宋_GBK" w:eastAsia="方正仿宋_GBK"/>
                <w:color w:val="000000"/>
                <w:kern w:val="0"/>
                <w:sz w:val="18"/>
                <w:szCs w:val="18"/>
                <w:lang w:bidi="ar"/>
              </w:rPr>
              <w:t>1</w:t>
            </w:r>
          </w:p>
        </w:tc>
        <w:tc>
          <w:tcPr>
            <w:tcW w:w="713" w:type="dxa"/>
            <w:vMerge w:val="restart"/>
            <w:tcBorders>
              <w:top w:val="single" w:color="000000" w:sz="4" w:space="0"/>
              <w:left w:val="single" w:color="000000" w:sz="4" w:space="0"/>
              <w:bottom w:val="single" w:color="000000" w:sz="4" w:space="0"/>
              <w:right w:val="single" w:color="000000" w:sz="4" w:space="0"/>
            </w:tcBorders>
            <w:noWrap/>
            <w:textDirection w:val="tbRlV"/>
            <w:vAlign w:val="center"/>
          </w:tcPr>
          <w:p w14:paraId="0ADD72A7">
            <w:pPr>
              <w:ind w:left="113" w:right="113"/>
              <w:jc w:val="center"/>
              <w:rPr>
                <w:rFonts w:hint="eastAsia" w:ascii="方正仿宋_GBK" w:hAnsi="宋体" w:eastAsia="方正仿宋_GBK" w:cs="宋体"/>
                <w:color w:val="000000"/>
                <w:sz w:val="18"/>
                <w:szCs w:val="18"/>
              </w:rPr>
            </w:pPr>
            <w:r>
              <w:rPr>
                <w:rFonts w:hint="eastAsia" w:ascii="方正仿宋_GBK" w:eastAsia="方正仿宋_GBK"/>
                <w:sz w:val="18"/>
                <w:szCs w:val="18"/>
              </w:rPr>
              <w:t>业务技术用房运转</w:t>
            </w:r>
          </w:p>
        </w:tc>
        <w:tc>
          <w:tcPr>
            <w:tcW w:w="1418" w:type="dxa"/>
            <w:tcBorders>
              <w:top w:val="single" w:color="000000" w:sz="4" w:space="0"/>
              <w:left w:val="single" w:color="000000" w:sz="4" w:space="0"/>
              <w:bottom w:val="single" w:color="000000" w:sz="4" w:space="0"/>
              <w:right w:val="single" w:color="000000" w:sz="4" w:space="0"/>
            </w:tcBorders>
            <w:noWrap/>
            <w:vAlign w:val="center"/>
          </w:tcPr>
          <w:p w14:paraId="29D77972">
            <w:pPr>
              <w:jc w:val="center"/>
              <w:rPr>
                <w:rFonts w:hint="eastAsia" w:ascii="方正仿宋_GBK" w:eastAsia="方正仿宋_GBK"/>
                <w:sz w:val="18"/>
                <w:szCs w:val="18"/>
              </w:rPr>
            </w:pPr>
            <w:r>
              <w:rPr>
                <w:rFonts w:hint="eastAsia" w:ascii="方正仿宋_GBK" w:eastAsia="方正仿宋_GBK"/>
                <w:sz w:val="18"/>
                <w:szCs w:val="18"/>
              </w:rPr>
              <w:t>办公用房面积</w:t>
            </w:r>
          </w:p>
        </w:tc>
        <w:tc>
          <w:tcPr>
            <w:tcW w:w="850" w:type="dxa"/>
            <w:tcBorders>
              <w:top w:val="single" w:color="000000" w:sz="4" w:space="0"/>
              <w:left w:val="single" w:color="000000" w:sz="4" w:space="0"/>
              <w:bottom w:val="single" w:color="000000" w:sz="4" w:space="0"/>
              <w:right w:val="single" w:color="000000" w:sz="4" w:space="0"/>
            </w:tcBorders>
            <w:noWrap/>
            <w:vAlign w:val="center"/>
          </w:tcPr>
          <w:p w14:paraId="43CB69FD">
            <w:pPr>
              <w:jc w:val="center"/>
              <w:rPr>
                <w:rFonts w:hint="eastAsia" w:ascii="方正仿宋_GBK" w:eastAsia="方正仿宋_GBK"/>
                <w:sz w:val="18"/>
                <w:szCs w:val="18"/>
              </w:rPr>
            </w:pPr>
            <w:r>
              <w:rPr>
                <w:rFonts w:hint="eastAsia" w:ascii="方正仿宋_GBK" w:eastAsia="方正仿宋_GBK"/>
                <w:sz w:val="18"/>
                <w:szCs w:val="18"/>
              </w:rPr>
              <w:t>≥</w:t>
            </w:r>
          </w:p>
        </w:tc>
        <w:tc>
          <w:tcPr>
            <w:tcW w:w="993" w:type="dxa"/>
            <w:tcBorders>
              <w:top w:val="single" w:color="000000" w:sz="4" w:space="0"/>
              <w:left w:val="single" w:color="000000" w:sz="4" w:space="0"/>
              <w:bottom w:val="single" w:color="000000" w:sz="4" w:space="0"/>
              <w:right w:val="single" w:color="000000" w:sz="4" w:space="0"/>
            </w:tcBorders>
            <w:noWrap/>
            <w:vAlign w:val="center"/>
          </w:tcPr>
          <w:p w14:paraId="1E949C44">
            <w:pPr>
              <w:jc w:val="center"/>
              <w:rPr>
                <w:rFonts w:hint="eastAsia" w:ascii="方正仿宋_GBK" w:eastAsia="方正仿宋_GBK"/>
                <w:sz w:val="18"/>
                <w:szCs w:val="18"/>
              </w:rPr>
            </w:pPr>
            <w:r>
              <w:rPr>
                <w:rFonts w:hint="eastAsia" w:ascii="方正仿宋_GBK" w:eastAsia="方正仿宋_GBK"/>
                <w:sz w:val="18"/>
                <w:szCs w:val="18"/>
              </w:rPr>
              <w:t>18000</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7167FD8F">
            <w:pPr>
              <w:jc w:val="center"/>
              <w:rPr>
                <w:rFonts w:hint="eastAsia" w:ascii="方正仿宋_GBK" w:eastAsia="方正仿宋_GBK"/>
                <w:sz w:val="18"/>
                <w:szCs w:val="18"/>
              </w:rPr>
            </w:pPr>
            <w:r>
              <w:rPr>
                <w:rFonts w:hint="eastAsia" w:ascii="方正仿宋_GBK" w:eastAsia="方正仿宋_GBK"/>
                <w:sz w:val="18"/>
                <w:szCs w:val="18"/>
              </w:rPr>
              <w:t>平方米</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247F0F5D">
            <w:pPr>
              <w:jc w:val="center"/>
              <w:rPr>
                <w:rFonts w:hint="eastAsia" w:ascii="方正仿宋_GBK" w:eastAsia="方正仿宋_GBK"/>
                <w:sz w:val="18"/>
                <w:szCs w:val="18"/>
              </w:rPr>
            </w:pPr>
            <w:r>
              <w:rPr>
                <w:rFonts w:hint="eastAsia" w:ascii="方正仿宋_GBK" w:eastAsia="方正仿宋_GBK"/>
                <w:sz w:val="18"/>
                <w:szCs w:val="18"/>
              </w:rPr>
              <w:t>20</w:t>
            </w:r>
          </w:p>
        </w:tc>
        <w:tc>
          <w:tcPr>
            <w:tcW w:w="851" w:type="dxa"/>
            <w:tcBorders>
              <w:top w:val="single" w:color="000000" w:sz="4" w:space="0"/>
              <w:left w:val="single" w:color="000000" w:sz="4" w:space="0"/>
              <w:bottom w:val="single" w:color="000000" w:sz="4" w:space="0"/>
              <w:right w:val="single" w:color="000000" w:sz="4" w:space="0"/>
            </w:tcBorders>
            <w:noWrap/>
            <w:vAlign w:val="center"/>
          </w:tcPr>
          <w:p w14:paraId="09F0FC9A">
            <w:pPr>
              <w:jc w:val="center"/>
              <w:rPr>
                <w:rFonts w:hint="eastAsia" w:ascii="方正仿宋_GBK" w:eastAsia="方正仿宋_GBK"/>
                <w:sz w:val="18"/>
                <w:szCs w:val="18"/>
              </w:rPr>
            </w:pPr>
            <w:r>
              <w:rPr>
                <w:rFonts w:hint="eastAsia" w:ascii="方正仿宋_GBK" w:eastAsia="方正仿宋_GBK"/>
                <w:sz w:val="18"/>
                <w:szCs w:val="18"/>
              </w:rPr>
              <w:t>18776.77</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1FF5110A">
            <w:pPr>
              <w:jc w:val="center"/>
              <w:rPr>
                <w:rFonts w:hint="eastAsia" w:ascii="方正仿宋_GBK" w:eastAsia="方正仿宋_GBK"/>
                <w:sz w:val="18"/>
                <w:szCs w:val="18"/>
              </w:rPr>
            </w:pPr>
            <w:r>
              <w:rPr>
                <w:rFonts w:hint="eastAsia" w:ascii="方正仿宋_GBK" w:eastAsia="方正仿宋_GBK"/>
                <w:sz w:val="18"/>
                <w:szCs w:val="18"/>
              </w:rPr>
              <w:t>20</w:t>
            </w:r>
          </w:p>
        </w:tc>
        <w:tc>
          <w:tcPr>
            <w:tcW w:w="600" w:type="dxa"/>
            <w:tcBorders>
              <w:top w:val="single" w:color="000000" w:sz="4" w:space="0"/>
              <w:left w:val="single" w:color="000000" w:sz="4" w:space="0"/>
              <w:bottom w:val="single" w:color="000000" w:sz="4" w:space="0"/>
              <w:right w:val="single" w:color="000000" w:sz="4" w:space="0"/>
            </w:tcBorders>
            <w:noWrap/>
            <w:vAlign w:val="center"/>
          </w:tcPr>
          <w:p w14:paraId="5699FB08">
            <w:pPr>
              <w:jc w:val="center"/>
              <w:rPr>
                <w:rFonts w:hint="eastAsia" w:ascii="方正仿宋_GBK" w:hAnsi="宋体" w:eastAsia="方正仿宋_GBK" w:cs="宋体"/>
                <w:color w:val="000000"/>
                <w:sz w:val="18"/>
                <w:szCs w:val="18"/>
              </w:rPr>
            </w:pPr>
          </w:p>
        </w:tc>
        <w:tc>
          <w:tcPr>
            <w:tcW w:w="818" w:type="dxa"/>
            <w:vMerge w:val="restart"/>
            <w:tcBorders>
              <w:top w:val="single" w:color="000000" w:sz="4" w:space="0"/>
              <w:left w:val="single" w:color="000000" w:sz="4" w:space="0"/>
              <w:bottom w:val="single" w:color="000000" w:sz="4" w:space="0"/>
              <w:right w:val="single" w:color="000000" w:sz="4" w:space="0"/>
            </w:tcBorders>
            <w:noWrap/>
            <w:vAlign w:val="center"/>
          </w:tcPr>
          <w:p w14:paraId="4F30F2B8">
            <w:pPr>
              <w:jc w:val="center"/>
              <w:rPr>
                <w:rFonts w:hint="eastAsia" w:ascii="方正仿宋_GBK" w:hAnsi="宋体" w:eastAsia="方正仿宋_GBK" w:cs="宋体"/>
                <w:color w:val="000000"/>
                <w:sz w:val="18"/>
                <w:szCs w:val="18"/>
              </w:rPr>
            </w:pPr>
            <w:r>
              <w:rPr>
                <w:rFonts w:hint="eastAsia" w:ascii="方正仿宋_GBK" w:hAnsi="宋体" w:eastAsia="方正仿宋_GBK" w:cs="宋体"/>
                <w:color w:val="000000"/>
                <w:sz w:val="18"/>
                <w:szCs w:val="18"/>
              </w:rPr>
              <w:t>100</w:t>
            </w:r>
          </w:p>
        </w:tc>
      </w:tr>
      <w:tr w14:paraId="78D33AF4">
        <w:tblPrEx>
          <w:tblCellMar>
            <w:top w:w="0" w:type="dxa"/>
            <w:left w:w="108" w:type="dxa"/>
            <w:bottom w:w="0" w:type="dxa"/>
            <w:right w:w="108" w:type="dxa"/>
          </w:tblCellMar>
        </w:tblPrEx>
        <w:trPr>
          <w:trHeight w:val="432" w:hRule="atLeast"/>
        </w:trPr>
        <w:tc>
          <w:tcPr>
            <w:tcW w:w="436" w:type="dxa"/>
            <w:vMerge w:val="continue"/>
            <w:tcBorders>
              <w:left w:val="single" w:color="000000" w:sz="4" w:space="0"/>
              <w:right w:val="single" w:color="000000" w:sz="4" w:space="0"/>
            </w:tcBorders>
            <w:noWrap/>
            <w:vAlign w:val="center"/>
          </w:tcPr>
          <w:p w14:paraId="290E7FEC">
            <w:pPr>
              <w:jc w:val="center"/>
              <w:textAlignment w:val="center"/>
              <w:rPr>
                <w:rFonts w:hint="eastAsia" w:ascii="方正仿宋_GBK" w:eastAsia="方正仿宋_GBK"/>
                <w:color w:val="000000"/>
                <w:sz w:val="18"/>
                <w:szCs w:val="18"/>
              </w:rPr>
            </w:pPr>
          </w:p>
        </w:tc>
        <w:tc>
          <w:tcPr>
            <w:tcW w:w="713" w:type="dxa"/>
            <w:vMerge w:val="continue"/>
            <w:tcBorders>
              <w:top w:val="single" w:color="000000" w:sz="4" w:space="0"/>
              <w:left w:val="single" w:color="000000" w:sz="4" w:space="0"/>
              <w:bottom w:val="single" w:color="000000" w:sz="4" w:space="0"/>
              <w:right w:val="single" w:color="000000" w:sz="4" w:space="0"/>
            </w:tcBorders>
            <w:noWrap/>
            <w:vAlign w:val="center"/>
          </w:tcPr>
          <w:p w14:paraId="3379DE96">
            <w:pPr>
              <w:jc w:val="center"/>
              <w:rPr>
                <w:rFonts w:hint="eastAsia" w:ascii="方正仿宋_GBK" w:hAnsi="宋体" w:eastAsia="方正仿宋_GBK" w:cs="宋体"/>
                <w:color w:val="000000"/>
                <w:sz w:val="18"/>
                <w:szCs w:val="18"/>
              </w:rPr>
            </w:pPr>
          </w:p>
        </w:tc>
        <w:tc>
          <w:tcPr>
            <w:tcW w:w="1418" w:type="dxa"/>
            <w:tcBorders>
              <w:top w:val="single" w:color="000000" w:sz="4" w:space="0"/>
              <w:left w:val="single" w:color="000000" w:sz="4" w:space="0"/>
              <w:bottom w:val="single" w:color="000000" w:sz="4" w:space="0"/>
              <w:right w:val="single" w:color="000000" w:sz="4" w:space="0"/>
            </w:tcBorders>
            <w:noWrap/>
            <w:vAlign w:val="center"/>
          </w:tcPr>
          <w:p w14:paraId="278E7861">
            <w:pPr>
              <w:jc w:val="center"/>
              <w:rPr>
                <w:rFonts w:hint="eastAsia" w:ascii="方正仿宋_GBK" w:eastAsia="方正仿宋_GBK"/>
                <w:sz w:val="18"/>
                <w:szCs w:val="18"/>
              </w:rPr>
            </w:pPr>
            <w:r>
              <w:rPr>
                <w:rFonts w:hint="eastAsia" w:ascii="方正仿宋_GBK" w:eastAsia="方正仿宋_GBK"/>
                <w:sz w:val="18"/>
                <w:szCs w:val="18"/>
              </w:rPr>
              <w:t>设施使用率</w:t>
            </w:r>
          </w:p>
        </w:tc>
        <w:tc>
          <w:tcPr>
            <w:tcW w:w="850" w:type="dxa"/>
            <w:tcBorders>
              <w:top w:val="single" w:color="000000" w:sz="4" w:space="0"/>
              <w:left w:val="single" w:color="000000" w:sz="4" w:space="0"/>
              <w:bottom w:val="single" w:color="000000" w:sz="4" w:space="0"/>
              <w:right w:val="single" w:color="000000" w:sz="4" w:space="0"/>
            </w:tcBorders>
            <w:noWrap/>
            <w:vAlign w:val="center"/>
          </w:tcPr>
          <w:p w14:paraId="7B5BB868">
            <w:pPr>
              <w:jc w:val="center"/>
              <w:rPr>
                <w:rFonts w:hint="eastAsia" w:ascii="方正仿宋_GBK" w:eastAsia="方正仿宋_GBK"/>
                <w:sz w:val="18"/>
                <w:szCs w:val="18"/>
              </w:rPr>
            </w:pPr>
            <w:r>
              <w:rPr>
                <w:rFonts w:hint="eastAsia" w:ascii="方正仿宋_GBK" w:eastAsia="方正仿宋_GBK"/>
                <w:sz w:val="18"/>
                <w:szCs w:val="18"/>
              </w:rPr>
              <w:t>≥</w:t>
            </w:r>
          </w:p>
        </w:tc>
        <w:tc>
          <w:tcPr>
            <w:tcW w:w="993" w:type="dxa"/>
            <w:tcBorders>
              <w:top w:val="single" w:color="000000" w:sz="4" w:space="0"/>
              <w:left w:val="single" w:color="000000" w:sz="4" w:space="0"/>
              <w:bottom w:val="single" w:color="000000" w:sz="4" w:space="0"/>
              <w:right w:val="single" w:color="000000" w:sz="4" w:space="0"/>
            </w:tcBorders>
            <w:noWrap/>
            <w:vAlign w:val="center"/>
          </w:tcPr>
          <w:p w14:paraId="33AB173C">
            <w:pPr>
              <w:jc w:val="center"/>
              <w:rPr>
                <w:rFonts w:hint="eastAsia" w:ascii="方正仿宋_GBK" w:eastAsia="方正仿宋_GBK"/>
                <w:sz w:val="18"/>
                <w:szCs w:val="18"/>
              </w:rPr>
            </w:pPr>
            <w:r>
              <w:rPr>
                <w:rFonts w:hint="eastAsia" w:ascii="方正仿宋_GBK" w:eastAsia="方正仿宋_GBK"/>
                <w:sz w:val="18"/>
                <w:szCs w:val="18"/>
              </w:rPr>
              <w:t>95</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71423C65">
            <w:pPr>
              <w:jc w:val="center"/>
              <w:rPr>
                <w:rFonts w:hint="eastAsia" w:ascii="方正仿宋_GBK" w:eastAsia="方正仿宋_GBK"/>
                <w:sz w:val="18"/>
                <w:szCs w:val="18"/>
              </w:rPr>
            </w:pPr>
            <w:r>
              <w:rPr>
                <w:rFonts w:hint="eastAsia" w:ascii="方正仿宋_GBK" w:eastAsia="方正仿宋_GBK"/>
                <w:sz w:val="18"/>
                <w:szCs w:val="18"/>
              </w:rPr>
              <w:t>%</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6E63B98F">
            <w:pPr>
              <w:jc w:val="center"/>
              <w:rPr>
                <w:rFonts w:hint="eastAsia" w:ascii="方正仿宋_GBK" w:eastAsia="方正仿宋_GBK"/>
                <w:sz w:val="18"/>
                <w:szCs w:val="18"/>
              </w:rPr>
            </w:pPr>
            <w:r>
              <w:rPr>
                <w:rFonts w:hint="eastAsia" w:ascii="方正仿宋_GBK" w:eastAsia="方正仿宋_GBK"/>
                <w:sz w:val="18"/>
                <w:szCs w:val="18"/>
              </w:rPr>
              <w:t>10</w:t>
            </w:r>
          </w:p>
        </w:tc>
        <w:tc>
          <w:tcPr>
            <w:tcW w:w="851" w:type="dxa"/>
            <w:tcBorders>
              <w:top w:val="single" w:color="000000" w:sz="4" w:space="0"/>
              <w:left w:val="single" w:color="000000" w:sz="4" w:space="0"/>
              <w:bottom w:val="single" w:color="000000" w:sz="4" w:space="0"/>
              <w:right w:val="single" w:color="000000" w:sz="4" w:space="0"/>
            </w:tcBorders>
            <w:noWrap/>
            <w:vAlign w:val="center"/>
          </w:tcPr>
          <w:p w14:paraId="25F9524F">
            <w:pPr>
              <w:jc w:val="center"/>
              <w:rPr>
                <w:rFonts w:hint="eastAsia" w:ascii="方正仿宋_GBK" w:eastAsia="方正仿宋_GBK"/>
                <w:sz w:val="18"/>
                <w:szCs w:val="18"/>
              </w:rPr>
            </w:pPr>
            <w:r>
              <w:rPr>
                <w:rFonts w:hint="eastAsia" w:ascii="方正仿宋_GBK" w:eastAsia="方正仿宋_GBK"/>
                <w:sz w:val="18"/>
                <w:szCs w:val="18"/>
              </w:rPr>
              <w:t>100</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01DFD360">
            <w:pPr>
              <w:jc w:val="center"/>
              <w:rPr>
                <w:rFonts w:hint="eastAsia" w:ascii="方正仿宋_GBK" w:eastAsia="方正仿宋_GBK"/>
                <w:sz w:val="18"/>
                <w:szCs w:val="18"/>
              </w:rPr>
            </w:pPr>
            <w:r>
              <w:rPr>
                <w:rFonts w:hint="eastAsia" w:ascii="方正仿宋_GBK" w:eastAsia="方正仿宋_GBK"/>
                <w:sz w:val="18"/>
                <w:szCs w:val="18"/>
              </w:rPr>
              <w:t>10</w:t>
            </w:r>
          </w:p>
        </w:tc>
        <w:tc>
          <w:tcPr>
            <w:tcW w:w="600" w:type="dxa"/>
            <w:tcBorders>
              <w:top w:val="single" w:color="000000" w:sz="4" w:space="0"/>
              <w:left w:val="single" w:color="000000" w:sz="4" w:space="0"/>
              <w:bottom w:val="single" w:color="000000" w:sz="4" w:space="0"/>
              <w:right w:val="single" w:color="000000" w:sz="4" w:space="0"/>
            </w:tcBorders>
            <w:noWrap/>
            <w:vAlign w:val="center"/>
          </w:tcPr>
          <w:p w14:paraId="48278589">
            <w:pPr>
              <w:jc w:val="center"/>
              <w:rPr>
                <w:rFonts w:hint="eastAsia" w:ascii="方正仿宋_GBK" w:hAnsi="宋体" w:eastAsia="方正仿宋_GBK" w:cs="宋体"/>
                <w:color w:val="000000"/>
                <w:sz w:val="18"/>
                <w:szCs w:val="18"/>
              </w:rPr>
            </w:pPr>
          </w:p>
        </w:tc>
        <w:tc>
          <w:tcPr>
            <w:tcW w:w="818" w:type="dxa"/>
            <w:vMerge w:val="continue"/>
            <w:tcBorders>
              <w:top w:val="single" w:color="000000" w:sz="4" w:space="0"/>
              <w:left w:val="single" w:color="000000" w:sz="4" w:space="0"/>
              <w:bottom w:val="single" w:color="000000" w:sz="4" w:space="0"/>
              <w:right w:val="single" w:color="000000" w:sz="4" w:space="0"/>
            </w:tcBorders>
            <w:noWrap/>
            <w:vAlign w:val="center"/>
          </w:tcPr>
          <w:p w14:paraId="27F3D047">
            <w:pPr>
              <w:jc w:val="center"/>
              <w:rPr>
                <w:rFonts w:hint="eastAsia" w:ascii="方正仿宋_GBK" w:hAnsi="宋体" w:eastAsia="方正仿宋_GBK" w:cs="宋体"/>
                <w:color w:val="000000"/>
                <w:sz w:val="18"/>
                <w:szCs w:val="18"/>
              </w:rPr>
            </w:pPr>
          </w:p>
        </w:tc>
      </w:tr>
      <w:tr w14:paraId="3744170A">
        <w:tblPrEx>
          <w:tblCellMar>
            <w:top w:w="0" w:type="dxa"/>
            <w:left w:w="108" w:type="dxa"/>
            <w:bottom w:w="0" w:type="dxa"/>
            <w:right w:w="108" w:type="dxa"/>
          </w:tblCellMar>
        </w:tblPrEx>
        <w:trPr>
          <w:trHeight w:val="432" w:hRule="atLeast"/>
        </w:trPr>
        <w:tc>
          <w:tcPr>
            <w:tcW w:w="436" w:type="dxa"/>
            <w:vMerge w:val="continue"/>
            <w:tcBorders>
              <w:left w:val="single" w:color="000000" w:sz="4" w:space="0"/>
              <w:right w:val="single" w:color="000000" w:sz="4" w:space="0"/>
            </w:tcBorders>
            <w:noWrap/>
            <w:vAlign w:val="center"/>
          </w:tcPr>
          <w:p w14:paraId="260BADB2">
            <w:pPr>
              <w:jc w:val="center"/>
              <w:textAlignment w:val="center"/>
              <w:rPr>
                <w:rFonts w:hint="eastAsia" w:ascii="方正仿宋_GBK" w:eastAsia="方正仿宋_GBK"/>
                <w:color w:val="000000"/>
                <w:sz w:val="18"/>
                <w:szCs w:val="18"/>
              </w:rPr>
            </w:pPr>
          </w:p>
        </w:tc>
        <w:tc>
          <w:tcPr>
            <w:tcW w:w="713" w:type="dxa"/>
            <w:vMerge w:val="continue"/>
            <w:tcBorders>
              <w:top w:val="single" w:color="000000" w:sz="4" w:space="0"/>
              <w:left w:val="single" w:color="000000" w:sz="4" w:space="0"/>
              <w:bottom w:val="single" w:color="000000" w:sz="4" w:space="0"/>
              <w:right w:val="single" w:color="000000" w:sz="4" w:space="0"/>
            </w:tcBorders>
            <w:noWrap/>
            <w:vAlign w:val="center"/>
          </w:tcPr>
          <w:p w14:paraId="459C4849">
            <w:pPr>
              <w:jc w:val="center"/>
              <w:rPr>
                <w:rFonts w:hint="eastAsia" w:ascii="方正仿宋_GBK" w:hAnsi="宋体" w:eastAsia="方正仿宋_GBK" w:cs="宋体"/>
                <w:color w:val="000000"/>
                <w:sz w:val="18"/>
                <w:szCs w:val="18"/>
              </w:rPr>
            </w:pPr>
          </w:p>
        </w:tc>
        <w:tc>
          <w:tcPr>
            <w:tcW w:w="1418" w:type="dxa"/>
            <w:tcBorders>
              <w:top w:val="single" w:color="000000" w:sz="4" w:space="0"/>
              <w:left w:val="single" w:color="000000" w:sz="4" w:space="0"/>
              <w:bottom w:val="single" w:color="000000" w:sz="4" w:space="0"/>
              <w:right w:val="single" w:color="000000" w:sz="4" w:space="0"/>
            </w:tcBorders>
            <w:noWrap/>
            <w:vAlign w:val="center"/>
          </w:tcPr>
          <w:p w14:paraId="151C480E">
            <w:pPr>
              <w:jc w:val="center"/>
              <w:rPr>
                <w:rFonts w:hint="eastAsia" w:ascii="方正仿宋_GBK" w:eastAsia="方正仿宋_GBK"/>
                <w:sz w:val="18"/>
                <w:szCs w:val="18"/>
              </w:rPr>
            </w:pPr>
            <w:r>
              <w:rPr>
                <w:rFonts w:hint="eastAsia" w:ascii="方正仿宋_GBK" w:eastAsia="方正仿宋_GBK"/>
                <w:sz w:val="18"/>
                <w:szCs w:val="18"/>
              </w:rPr>
              <w:t>办公用房运行成本</w:t>
            </w:r>
          </w:p>
        </w:tc>
        <w:tc>
          <w:tcPr>
            <w:tcW w:w="850" w:type="dxa"/>
            <w:tcBorders>
              <w:top w:val="single" w:color="000000" w:sz="4" w:space="0"/>
              <w:left w:val="single" w:color="000000" w:sz="4" w:space="0"/>
              <w:bottom w:val="single" w:color="000000" w:sz="4" w:space="0"/>
              <w:right w:val="single" w:color="000000" w:sz="4" w:space="0"/>
            </w:tcBorders>
            <w:noWrap/>
            <w:vAlign w:val="center"/>
          </w:tcPr>
          <w:p w14:paraId="0C7C8722">
            <w:pPr>
              <w:jc w:val="center"/>
              <w:rPr>
                <w:rFonts w:hint="eastAsia" w:ascii="方正仿宋_GBK" w:eastAsia="方正仿宋_GBK"/>
                <w:sz w:val="18"/>
                <w:szCs w:val="18"/>
              </w:rPr>
            </w:pPr>
            <w:r>
              <w:rPr>
                <w:rFonts w:hint="eastAsia" w:ascii="方正仿宋_GBK" w:eastAsia="方正仿宋_GBK"/>
                <w:sz w:val="18"/>
                <w:szCs w:val="18"/>
              </w:rPr>
              <w:t>≤</w:t>
            </w:r>
          </w:p>
        </w:tc>
        <w:tc>
          <w:tcPr>
            <w:tcW w:w="993" w:type="dxa"/>
            <w:tcBorders>
              <w:top w:val="single" w:color="000000" w:sz="4" w:space="0"/>
              <w:left w:val="single" w:color="000000" w:sz="4" w:space="0"/>
              <w:bottom w:val="single" w:color="000000" w:sz="4" w:space="0"/>
              <w:right w:val="single" w:color="000000" w:sz="4" w:space="0"/>
            </w:tcBorders>
            <w:noWrap/>
            <w:vAlign w:val="center"/>
          </w:tcPr>
          <w:p w14:paraId="3C8E5BE3">
            <w:pPr>
              <w:jc w:val="center"/>
              <w:rPr>
                <w:rFonts w:hint="eastAsia" w:ascii="方正仿宋_GBK" w:eastAsia="方正仿宋_GBK"/>
                <w:sz w:val="18"/>
                <w:szCs w:val="18"/>
              </w:rPr>
            </w:pPr>
            <w:r>
              <w:rPr>
                <w:rFonts w:hint="eastAsia" w:ascii="方正仿宋_GBK" w:eastAsia="方正仿宋_GBK"/>
                <w:sz w:val="18"/>
                <w:szCs w:val="18"/>
              </w:rPr>
              <w:t>2400</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5C778AA3">
            <w:pPr>
              <w:jc w:val="center"/>
              <w:rPr>
                <w:rFonts w:hint="eastAsia" w:ascii="方正仿宋_GBK" w:eastAsia="方正仿宋_GBK"/>
                <w:sz w:val="18"/>
                <w:szCs w:val="18"/>
              </w:rPr>
            </w:pPr>
            <w:r>
              <w:rPr>
                <w:rFonts w:hint="eastAsia" w:ascii="方正仿宋_GBK" w:eastAsia="方正仿宋_GBK"/>
                <w:sz w:val="18"/>
                <w:szCs w:val="18"/>
              </w:rPr>
              <w:t>万元/年</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3CFDEC13">
            <w:pPr>
              <w:jc w:val="center"/>
              <w:rPr>
                <w:rFonts w:hint="eastAsia" w:ascii="方正仿宋_GBK" w:eastAsia="方正仿宋_GBK"/>
                <w:sz w:val="18"/>
                <w:szCs w:val="18"/>
              </w:rPr>
            </w:pPr>
            <w:r>
              <w:rPr>
                <w:rFonts w:hint="eastAsia" w:ascii="方正仿宋_GBK" w:eastAsia="方正仿宋_GBK"/>
                <w:sz w:val="18"/>
                <w:szCs w:val="18"/>
              </w:rPr>
              <w:t>20</w:t>
            </w:r>
          </w:p>
        </w:tc>
        <w:tc>
          <w:tcPr>
            <w:tcW w:w="851" w:type="dxa"/>
            <w:tcBorders>
              <w:top w:val="single" w:color="000000" w:sz="4" w:space="0"/>
              <w:left w:val="single" w:color="000000" w:sz="4" w:space="0"/>
              <w:bottom w:val="single" w:color="000000" w:sz="4" w:space="0"/>
              <w:right w:val="single" w:color="000000" w:sz="4" w:space="0"/>
            </w:tcBorders>
            <w:noWrap/>
            <w:vAlign w:val="center"/>
          </w:tcPr>
          <w:p w14:paraId="491020CA">
            <w:pPr>
              <w:jc w:val="center"/>
              <w:rPr>
                <w:rFonts w:hint="eastAsia" w:ascii="方正仿宋_GBK" w:eastAsia="方正仿宋_GBK"/>
                <w:sz w:val="18"/>
                <w:szCs w:val="18"/>
              </w:rPr>
            </w:pPr>
            <w:r>
              <w:rPr>
                <w:rFonts w:hint="eastAsia" w:ascii="方正仿宋_GBK" w:eastAsia="方正仿宋_GBK"/>
                <w:sz w:val="18"/>
                <w:szCs w:val="18"/>
              </w:rPr>
              <w:t>2400</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2B3EF382">
            <w:pPr>
              <w:jc w:val="center"/>
              <w:rPr>
                <w:rFonts w:hint="eastAsia" w:ascii="方正仿宋_GBK" w:eastAsia="方正仿宋_GBK"/>
                <w:sz w:val="18"/>
                <w:szCs w:val="18"/>
              </w:rPr>
            </w:pPr>
            <w:r>
              <w:rPr>
                <w:rFonts w:hint="eastAsia" w:ascii="方正仿宋_GBK" w:eastAsia="方正仿宋_GBK"/>
                <w:sz w:val="18"/>
                <w:szCs w:val="18"/>
              </w:rPr>
              <w:t>20</w:t>
            </w:r>
          </w:p>
        </w:tc>
        <w:tc>
          <w:tcPr>
            <w:tcW w:w="600" w:type="dxa"/>
            <w:tcBorders>
              <w:top w:val="single" w:color="000000" w:sz="4" w:space="0"/>
              <w:left w:val="single" w:color="000000" w:sz="4" w:space="0"/>
              <w:bottom w:val="single" w:color="000000" w:sz="4" w:space="0"/>
              <w:right w:val="single" w:color="000000" w:sz="4" w:space="0"/>
            </w:tcBorders>
            <w:noWrap/>
            <w:vAlign w:val="center"/>
          </w:tcPr>
          <w:p w14:paraId="2969652A">
            <w:pPr>
              <w:jc w:val="center"/>
              <w:rPr>
                <w:rFonts w:hint="eastAsia" w:ascii="方正仿宋_GBK" w:hAnsi="宋体" w:eastAsia="方正仿宋_GBK" w:cs="宋体"/>
                <w:color w:val="000000"/>
                <w:sz w:val="18"/>
                <w:szCs w:val="18"/>
              </w:rPr>
            </w:pPr>
          </w:p>
        </w:tc>
        <w:tc>
          <w:tcPr>
            <w:tcW w:w="818" w:type="dxa"/>
            <w:vMerge w:val="continue"/>
            <w:tcBorders>
              <w:top w:val="single" w:color="000000" w:sz="4" w:space="0"/>
              <w:left w:val="single" w:color="000000" w:sz="4" w:space="0"/>
              <w:bottom w:val="single" w:color="000000" w:sz="4" w:space="0"/>
              <w:right w:val="single" w:color="000000" w:sz="4" w:space="0"/>
            </w:tcBorders>
            <w:noWrap/>
            <w:vAlign w:val="center"/>
          </w:tcPr>
          <w:p w14:paraId="652E78A8">
            <w:pPr>
              <w:jc w:val="center"/>
              <w:rPr>
                <w:rFonts w:hint="eastAsia" w:ascii="方正仿宋_GBK" w:hAnsi="宋体" w:eastAsia="方正仿宋_GBK" w:cs="宋体"/>
                <w:color w:val="000000"/>
                <w:sz w:val="18"/>
                <w:szCs w:val="18"/>
              </w:rPr>
            </w:pPr>
          </w:p>
        </w:tc>
      </w:tr>
      <w:tr w14:paraId="5B7F7A88">
        <w:tblPrEx>
          <w:tblCellMar>
            <w:top w:w="0" w:type="dxa"/>
            <w:left w:w="108" w:type="dxa"/>
            <w:bottom w:w="0" w:type="dxa"/>
            <w:right w:w="108" w:type="dxa"/>
          </w:tblCellMar>
        </w:tblPrEx>
        <w:trPr>
          <w:trHeight w:val="432" w:hRule="atLeast"/>
        </w:trPr>
        <w:tc>
          <w:tcPr>
            <w:tcW w:w="436" w:type="dxa"/>
            <w:vMerge w:val="continue"/>
            <w:tcBorders>
              <w:left w:val="single" w:color="000000" w:sz="4" w:space="0"/>
              <w:right w:val="single" w:color="000000" w:sz="4" w:space="0"/>
            </w:tcBorders>
            <w:noWrap/>
            <w:vAlign w:val="center"/>
          </w:tcPr>
          <w:p w14:paraId="2AE27ACA">
            <w:pPr>
              <w:jc w:val="center"/>
              <w:textAlignment w:val="center"/>
              <w:rPr>
                <w:rFonts w:hint="eastAsia" w:ascii="方正仿宋_GBK" w:eastAsia="方正仿宋_GBK"/>
                <w:color w:val="000000"/>
                <w:sz w:val="18"/>
                <w:szCs w:val="18"/>
              </w:rPr>
            </w:pPr>
          </w:p>
        </w:tc>
        <w:tc>
          <w:tcPr>
            <w:tcW w:w="713" w:type="dxa"/>
            <w:vMerge w:val="continue"/>
            <w:tcBorders>
              <w:top w:val="single" w:color="000000" w:sz="4" w:space="0"/>
              <w:left w:val="single" w:color="000000" w:sz="4" w:space="0"/>
              <w:bottom w:val="single" w:color="000000" w:sz="4" w:space="0"/>
              <w:right w:val="single" w:color="000000" w:sz="4" w:space="0"/>
            </w:tcBorders>
            <w:noWrap/>
            <w:vAlign w:val="center"/>
          </w:tcPr>
          <w:p w14:paraId="6623A6C9">
            <w:pPr>
              <w:jc w:val="center"/>
              <w:rPr>
                <w:rFonts w:hint="eastAsia" w:ascii="方正仿宋_GBK" w:hAnsi="宋体" w:eastAsia="方正仿宋_GBK" w:cs="宋体"/>
                <w:color w:val="000000"/>
                <w:sz w:val="18"/>
                <w:szCs w:val="18"/>
              </w:rPr>
            </w:pPr>
          </w:p>
        </w:tc>
        <w:tc>
          <w:tcPr>
            <w:tcW w:w="1418" w:type="dxa"/>
            <w:tcBorders>
              <w:top w:val="single" w:color="000000" w:sz="4" w:space="0"/>
              <w:left w:val="single" w:color="000000" w:sz="4" w:space="0"/>
              <w:bottom w:val="single" w:color="000000" w:sz="4" w:space="0"/>
              <w:right w:val="single" w:color="000000" w:sz="4" w:space="0"/>
            </w:tcBorders>
            <w:noWrap/>
            <w:vAlign w:val="center"/>
          </w:tcPr>
          <w:p w14:paraId="43286FC6">
            <w:pPr>
              <w:jc w:val="center"/>
              <w:rPr>
                <w:rFonts w:hint="eastAsia" w:ascii="方正仿宋_GBK" w:eastAsia="方正仿宋_GBK"/>
                <w:sz w:val="18"/>
                <w:szCs w:val="18"/>
              </w:rPr>
            </w:pPr>
            <w:r>
              <w:rPr>
                <w:rFonts w:hint="eastAsia" w:ascii="方正仿宋_GBK" w:eastAsia="方正仿宋_GBK"/>
                <w:sz w:val="18"/>
                <w:szCs w:val="18"/>
              </w:rPr>
              <w:t>改善服务群众办公环境</w:t>
            </w:r>
          </w:p>
        </w:tc>
        <w:tc>
          <w:tcPr>
            <w:tcW w:w="850" w:type="dxa"/>
            <w:tcBorders>
              <w:top w:val="single" w:color="000000" w:sz="4" w:space="0"/>
              <w:left w:val="single" w:color="000000" w:sz="4" w:space="0"/>
              <w:bottom w:val="single" w:color="000000" w:sz="4" w:space="0"/>
              <w:right w:val="single" w:color="000000" w:sz="4" w:space="0"/>
            </w:tcBorders>
            <w:noWrap/>
            <w:vAlign w:val="center"/>
          </w:tcPr>
          <w:p w14:paraId="72C719E5">
            <w:pPr>
              <w:jc w:val="center"/>
              <w:rPr>
                <w:rFonts w:hint="eastAsia" w:ascii="方正仿宋_GBK" w:eastAsia="方正仿宋_GBK"/>
                <w:sz w:val="18"/>
                <w:szCs w:val="18"/>
              </w:rPr>
            </w:pPr>
            <w:r>
              <w:rPr>
                <w:rFonts w:hint="eastAsia" w:ascii="方正仿宋_GBK" w:eastAsia="方正仿宋_GBK"/>
                <w:sz w:val="18"/>
                <w:szCs w:val="18"/>
              </w:rPr>
              <w:t>定性</w:t>
            </w:r>
          </w:p>
        </w:tc>
        <w:tc>
          <w:tcPr>
            <w:tcW w:w="993" w:type="dxa"/>
            <w:tcBorders>
              <w:top w:val="single" w:color="000000" w:sz="4" w:space="0"/>
              <w:left w:val="single" w:color="000000" w:sz="4" w:space="0"/>
              <w:bottom w:val="single" w:color="000000" w:sz="4" w:space="0"/>
              <w:right w:val="single" w:color="000000" w:sz="4" w:space="0"/>
            </w:tcBorders>
            <w:noWrap/>
            <w:vAlign w:val="center"/>
          </w:tcPr>
          <w:p w14:paraId="3BE2FB38">
            <w:pPr>
              <w:jc w:val="center"/>
              <w:rPr>
                <w:rFonts w:hint="eastAsia" w:ascii="方正仿宋_GBK" w:eastAsia="方正仿宋_GBK"/>
                <w:sz w:val="18"/>
                <w:szCs w:val="18"/>
              </w:rPr>
            </w:pPr>
            <w:r>
              <w:rPr>
                <w:rFonts w:hint="eastAsia" w:ascii="方正仿宋_GBK" w:eastAsia="方正仿宋_GBK"/>
                <w:sz w:val="18"/>
                <w:szCs w:val="18"/>
              </w:rPr>
              <w:t>良</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64FBB26A">
            <w:pPr>
              <w:jc w:val="center"/>
              <w:rPr>
                <w:rFonts w:hint="eastAsia" w:ascii="方正仿宋_GBK" w:eastAsia="方正仿宋_GBK"/>
                <w:sz w:val="18"/>
                <w:szCs w:val="18"/>
              </w:rPr>
            </w:pPr>
            <w:r>
              <w:rPr>
                <w:rFonts w:hint="eastAsia" w:ascii="方正仿宋_GBK" w:eastAsia="方正仿宋_GBK"/>
                <w:sz w:val="18"/>
                <w:szCs w:val="18"/>
              </w:rPr>
              <w:t>其他</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29DE146A">
            <w:pPr>
              <w:jc w:val="center"/>
              <w:rPr>
                <w:rFonts w:hint="eastAsia" w:ascii="方正仿宋_GBK" w:eastAsia="方正仿宋_GBK"/>
                <w:sz w:val="18"/>
                <w:szCs w:val="18"/>
              </w:rPr>
            </w:pPr>
            <w:r>
              <w:rPr>
                <w:rFonts w:hint="eastAsia" w:ascii="方正仿宋_GBK" w:eastAsia="方正仿宋_GBK"/>
                <w:sz w:val="18"/>
                <w:szCs w:val="18"/>
              </w:rPr>
              <w:t>10</w:t>
            </w:r>
          </w:p>
        </w:tc>
        <w:tc>
          <w:tcPr>
            <w:tcW w:w="851" w:type="dxa"/>
            <w:tcBorders>
              <w:top w:val="single" w:color="000000" w:sz="4" w:space="0"/>
              <w:left w:val="single" w:color="000000" w:sz="4" w:space="0"/>
              <w:bottom w:val="single" w:color="000000" w:sz="4" w:space="0"/>
              <w:right w:val="single" w:color="000000" w:sz="4" w:space="0"/>
            </w:tcBorders>
            <w:noWrap/>
            <w:vAlign w:val="center"/>
          </w:tcPr>
          <w:p w14:paraId="40A24C85">
            <w:pPr>
              <w:jc w:val="center"/>
              <w:rPr>
                <w:rFonts w:hint="eastAsia" w:ascii="方正仿宋_GBK" w:eastAsia="方正仿宋_GBK"/>
                <w:sz w:val="18"/>
                <w:szCs w:val="18"/>
              </w:rPr>
            </w:pPr>
            <w:r>
              <w:rPr>
                <w:rFonts w:hint="eastAsia" w:ascii="方正仿宋_GBK" w:eastAsia="方正仿宋_GBK"/>
                <w:sz w:val="18"/>
                <w:szCs w:val="18"/>
              </w:rPr>
              <w:t>全部完成</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22E28483">
            <w:pPr>
              <w:jc w:val="center"/>
              <w:rPr>
                <w:rFonts w:hint="eastAsia" w:ascii="方正仿宋_GBK" w:eastAsia="方正仿宋_GBK"/>
                <w:sz w:val="18"/>
                <w:szCs w:val="18"/>
              </w:rPr>
            </w:pPr>
            <w:r>
              <w:rPr>
                <w:rFonts w:hint="eastAsia" w:ascii="方正仿宋_GBK" w:eastAsia="方正仿宋_GBK"/>
                <w:sz w:val="18"/>
                <w:szCs w:val="18"/>
              </w:rPr>
              <w:t>10</w:t>
            </w:r>
          </w:p>
        </w:tc>
        <w:tc>
          <w:tcPr>
            <w:tcW w:w="600" w:type="dxa"/>
            <w:tcBorders>
              <w:top w:val="single" w:color="000000" w:sz="4" w:space="0"/>
              <w:left w:val="single" w:color="000000" w:sz="4" w:space="0"/>
              <w:bottom w:val="single" w:color="000000" w:sz="4" w:space="0"/>
              <w:right w:val="single" w:color="000000" w:sz="4" w:space="0"/>
            </w:tcBorders>
            <w:noWrap/>
            <w:vAlign w:val="center"/>
          </w:tcPr>
          <w:p w14:paraId="33BF8B27">
            <w:pPr>
              <w:jc w:val="center"/>
              <w:rPr>
                <w:rFonts w:hint="eastAsia" w:ascii="方正仿宋_GBK" w:hAnsi="宋体" w:eastAsia="方正仿宋_GBK" w:cs="宋体"/>
                <w:color w:val="000000"/>
                <w:sz w:val="18"/>
                <w:szCs w:val="18"/>
              </w:rPr>
            </w:pPr>
          </w:p>
        </w:tc>
        <w:tc>
          <w:tcPr>
            <w:tcW w:w="818" w:type="dxa"/>
            <w:vMerge w:val="continue"/>
            <w:tcBorders>
              <w:top w:val="single" w:color="000000" w:sz="4" w:space="0"/>
              <w:left w:val="single" w:color="000000" w:sz="4" w:space="0"/>
              <w:bottom w:val="single" w:color="000000" w:sz="4" w:space="0"/>
              <w:right w:val="single" w:color="000000" w:sz="4" w:space="0"/>
            </w:tcBorders>
            <w:noWrap/>
            <w:vAlign w:val="center"/>
          </w:tcPr>
          <w:p w14:paraId="7333D7D1">
            <w:pPr>
              <w:jc w:val="center"/>
              <w:rPr>
                <w:rFonts w:hint="eastAsia" w:ascii="方正仿宋_GBK" w:hAnsi="宋体" w:eastAsia="方正仿宋_GBK" w:cs="宋体"/>
                <w:color w:val="000000"/>
                <w:sz w:val="18"/>
                <w:szCs w:val="18"/>
              </w:rPr>
            </w:pPr>
          </w:p>
        </w:tc>
      </w:tr>
      <w:tr w14:paraId="73A360E8">
        <w:tblPrEx>
          <w:tblCellMar>
            <w:top w:w="0" w:type="dxa"/>
            <w:left w:w="108" w:type="dxa"/>
            <w:bottom w:w="0" w:type="dxa"/>
            <w:right w:w="108" w:type="dxa"/>
          </w:tblCellMar>
        </w:tblPrEx>
        <w:trPr>
          <w:trHeight w:val="432" w:hRule="atLeast"/>
        </w:trPr>
        <w:tc>
          <w:tcPr>
            <w:tcW w:w="436" w:type="dxa"/>
            <w:vMerge w:val="continue"/>
            <w:tcBorders>
              <w:left w:val="single" w:color="000000" w:sz="4" w:space="0"/>
              <w:right w:val="single" w:color="000000" w:sz="4" w:space="0"/>
            </w:tcBorders>
            <w:noWrap/>
            <w:vAlign w:val="center"/>
          </w:tcPr>
          <w:p w14:paraId="6F189F9D">
            <w:pPr>
              <w:jc w:val="center"/>
              <w:textAlignment w:val="center"/>
              <w:rPr>
                <w:rFonts w:hint="eastAsia" w:ascii="方正仿宋_GBK" w:eastAsia="方正仿宋_GBK"/>
                <w:color w:val="000000"/>
                <w:sz w:val="18"/>
                <w:szCs w:val="18"/>
              </w:rPr>
            </w:pPr>
          </w:p>
        </w:tc>
        <w:tc>
          <w:tcPr>
            <w:tcW w:w="713" w:type="dxa"/>
            <w:vMerge w:val="continue"/>
            <w:tcBorders>
              <w:top w:val="single" w:color="000000" w:sz="4" w:space="0"/>
              <w:left w:val="single" w:color="000000" w:sz="4" w:space="0"/>
              <w:bottom w:val="single" w:color="000000" w:sz="4" w:space="0"/>
              <w:right w:val="single" w:color="000000" w:sz="4" w:space="0"/>
            </w:tcBorders>
            <w:noWrap/>
            <w:vAlign w:val="center"/>
          </w:tcPr>
          <w:p w14:paraId="2585714C">
            <w:pPr>
              <w:jc w:val="center"/>
              <w:rPr>
                <w:rFonts w:hint="eastAsia" w:ascii="方正仿宋_GBK" w:hAnsi="宋体" w:eastAsia="方正仿宋_GBK" w:cs="宋体"/>
                <w:color w:val="000000"/>
                <w:sz w:val="18"/>
                <w:szCs w:val="18"/>
              </w:rPr>
            </w:pPr>
          </w:p>
        </w:tc>
        <w:tc>
          <w:tcPr>
            <w:tcW w:w="1418" w:type="dxa"/>
            <w:tcBorders>
              <w:top w:val="single" w:color="000000" w:sz="4" w:space="0"/>
              <w:left w:val="single" w:color="000000" w:sz="4" w:space="0"/>
              <w:bottom w:val="single" w:color="000000" w:sz="4" w:space="0"/>
              <w:right w:val="single" w:color="000000" w:sz="4" w:space="0"/>
            </w:tcBorders>
            <w:noWrap/>
            <w:vAlign w:val="center"/>
          </w:tcPr>
          <w:p w14:paraId="35C670D6">
            <w:pPr>
              <w:jc w:val="center"/>
              <w:rPr>
                <w:rFonts w:hint="eastAsia" w:ascii="方正仿宋_GBK" w:eastAsia="方正仿宋_GBK"/>
                <w:sz w:val="18"/>
                <w:szCs w:val="18"/>
              </w:rPr>
            </w:pPr>
            <w:r>
              <w:rPr>
                <w:rFonts w:hint="eastAsia" w:ascii="方正仿宋_GBK" w:eastAsia="方正仿宋_GBK"/>
                <w:sz w:val="18"/>
                <w:szCs w:val="18"/>
              </w:rPr>
              <w:t>保障机构正常运行</w:t>
            </w:r>
          </w:p>
        </w:tc>
        <w:tc>
          <w:tcPr>
            <w:tcW w:w="850" w:type="dxa"/>
            <w:tcBorders>
              <w:top w:val="single" w:color="000000" w:sz="4" w:space="0"/>
              <w:left w:val="single" w:color="000000" w:sz="4" w:space="0"/>
              <w:bottom w:val="single" w:color="000000" w:sz="4" w:space="0"/>
              <w:right w:val="single" w:color="000000" w:sz="4" w:space="0"/>
            </w:tcBorders>
            <w:noWrap/>
            <w:vAlign w:val="center"/>
          </w:tcPr>
          <w:p w14:paraId="073091ED">
            <w:pPr>
              <w:jc w:val="center"/>
              <w:rPr>
                <w:rFonts w:hint="eastAsia" w:ascii="方正仿宋_GBK" w:eastAsia="方正仿宋_GBK"/>
                <w:sz w:val="18"/>
                <w:szCs w:val="18"/>
              </w:rPr>
            </w:pPr>
            <w:r>
              <w:rPr>
                <w:rFonts w:hint="eastAsia" w:ascii="方正仿宋_GBK" w:eastAsia="方正仿宋_GBK"/>
                <w:sz w:val="18"/>
                <w:szCs w:val="18"/>
              </w:rPr>
              <w:t>定性</w:t>
            </w:r>
          </w:p>
        </w:tc>
        <w:tc>
          <w:tcPr>
            <w:tcW w:w="993" w:type="dxa"/>
            <w:tcBorders>
              <w:top w:val="single" w:color="000000" w:sz="4" w:space="0"/>
              <w:left w:val="single" w:color="000000" w:sz="4" w:space="0"/>
              <w:bottom w:val="single" w:color="000000" w:sz="4" w:space="0"/>
              <w:right w:val="single" w:color="000000" w:sz="4" w:space="0"/>
            </w:tcBorders>
            <w:noWrap/>
            <w:vAlign w:val="center"/>
          </w:tcPr>
          <w:p w14:paraId="63BA375A">
            <w:pPr>
              <w:jc w:val="center"/>
              <w:rPr>
                <w:rFonts w:hint="eastAsia" w:ascii="方正仿宋_GBK" w:eastAsia="方正仿宋_GBK"/>
                <w:sz w:val="18"/>
                <w:szCs w:val="18"/>
              </w:rPr>
            </w:pPr>
            <w:r>
              <w:rPr>
                <w:rFonts w:hint="eastAsia" w:ascii="方正仿宋_GBK" w:eastAsia="方正仿宋_GBK"/>
                <w:sz w:val="18"/>
                <w:szCs w:val="18"/>
              </w:rPr>
              <w:t>优</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0A6B0E0D">
            <w:pPr>
              <w:jc w:val="center"/>
              <w:rPr>
                <w:rFonts w:hint="eastAsia" w:ascii="方正仿宋_GBK" w:eastAsia="方正仿宋_GBK"/>
                <w:sz w:val="18"/>
                <w:szCs w:val="18"/>
              </w:rPr>
            </w:pPr>
            <w:r>
              <w:rPr>
                <w:rFonts w:hint="eastAsia" w:ascii="方正仿宋_GBK" w:eastAsia="方正仿宋_GBK"/>
                <w:sz w:val="18"/>
                <w:szCs w:val="18"/>
              </w:rPr>
              <w:t>其他</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69C9A8F4">
            <w:pPr>
              <w:jc w:val="center"/>
              <w:rPr>
                <w:rFonts w:hint="eastAsia" w:ascii="方正仿宋_GBK" w:eastAsia="方正仿宋_GBK"/>
                <w:sz w:val="18"/>
                <w:szCs w:val="18"/>
              </w:rPr>
            </w:pPr>
            <w:r>
              <w:rPr>
                <w:rFonts w:hint="eastAsia" w:ascii="方正仿宋_GBK" w:eastAsia="方正仿宋_GBK"/>
                <w:sz w:val="18"/>
                <w:szCs w:val="18"/>
              </w:rPr>
              <w:t>10</w:t>
            </w:r>
          </w:p>
        </w:tc>
        <w:tc>
          <w:tcPr>
            <w:tcW w:w="851" w:type="dxa"/>
            <w:tcBorders>
              <w:top w:val="single" w:color="000000" w:sz="4" w:space="0"/>
              <w:left w:val="single" w:color="000000" w:sz="4" w:space="0"/>
              <w:bottom w:val="single" w:color="000000" w:sz="4" w:space="0"/>
              <w:right w:val="single" w:color="000000" w:sz="4" w:space="0"/>
            </w:tcBorders>
            <w:noWrap/>
            <w:vAlign w:val="center"/>
          </w:tcPr>
          <w:p w14:paraId="793B4A1C">
            <w:pPr>
              <w:jc w:val="center"/>
              <w:rPr>
                <w:rFonts w:hint="eastAsia" w:ascii="方正仿宋_GBK" w:eastAsia="方正仿宋_GBK"/>
                <w:sz w:val="18"/>
                <w:szCs w:val="18"/>
              </w:rPr>
            </w:pPr>
            <w:r>
              <w:rPr>
                <w:rFonts w:hint="eastAsia" w:ascii="方正仿宋_GBK" w:eastAsia="方正仿宋_GBK"/>
                <w:sz w:val="18"/>
                <w:szCs w:val="18"/>
              </w:rPr>
              <w:t>全部完成</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3E9970F8">
            <w:pPr>
              <w:jc w:val="center"/>
              <w:rPr>
                <w:rFonts w:hint="eastAsia" w:ascii="方正仿宋_GBK" w:eastAsia="方正仿宋_GBK"/>
                <w:sz w:val="18"/>
                <w:szCs w:val="18"/>
              </w:rPr>
            </w:pPr>
            <w:r>
              <w:rPr>
                <w:rFonts w:hint="eastAsia" w:ascii="方正仿宋_GBK" w:eastAsia="方正仿宋_GBK"/>
                <w:sz w:val="18"/>
                <w:szCs w:val="18"/>
              </w:rPr>
              <w:t>10</w:t>
            </w:r>
          </w:p>
        </w:tc>
        <w:tc>
          <w:tcPr>
            <w:tcW w:w="600" w:type="dxa"/>
            <w:tcBorders>
              <w:top w:val="single" w:color="000000" w:sz="4" w:space="0"/>
              <w:left w:val="single" w:color="000000" w:sz="4" w:space="0"/>
              <w:bottom w:val="single" w:color="000000" w:sz="4" w:space="0"/>
              <w:right w:val="single" w:color="000000" w:sz="4" w:space="0"/>
            </w:tcBorders>
            <w:noWrap/>
            <w:vAlign w:val="center"/>
          </w:tcPr>
          <w:p w14:paraId="5FB5C70C">
            <w:pPr>
              <w:jc w:val="center"/>
              <w:rPr>
                <w:rFonts w:hint="eastAsia" w:ascii="方正仿宋_GBK" w:hAnsi="宋体" w:eastAsia="方正仿宋_GBK" w:cs="宋体"/>
                <w:color w:val="000000"/>
                <w:sz w:val="18"/>
                <w:szCs w:val="18"/>
              </w:rPr>
            </w:pPr>
          </w:p>
        </w:tc>
        <w:tc>
          <w:tcPr>
            <w:tcW w:w="818" w:type="dxa"/>
            <w:vMerge w:val="continue"/>
            <w:tcBorders>
              <w:top w:val="single" w:color="000000" w:sz="4" w:space="0"/>
              <w:left w:val="single" w:color="000000" w:sz="4" w:space="0"/>
              <w:bottom w:val="single" w:color="000000" w:sz="4" w:space="0"/>
              <w:right w:val="single" w:color="000000" w:sz="4" w:space="0"/>
            </w:tcBorders>
            <w:noWrap/>
            <w:vAlign w:val="center"/>
          </w:tcPr>
          <w:p w14:paraId="44C67460">
            <w:pPr>
              <w:jc w:val="center"/>
              <w:rPr>
                <w:rFonts w:hint="eastAsia" w:ascii="方正仿宋_GBK" w:hAnsi="宋体" w:eastAsia="方正仿宋_GBK" w:cs="宋体"/>
                <w:color w:val="000000"/>
                <w:sz w:val="18"/>
                <w:szCs w:val="18"/>
              </w:rPr>
            </w:pPr>
          </w:p>
        </w:tc>
      </w:tr>
      <w:tr w14:paraId="1E82947C">
        <w:tblPrEx>
          <w:tblCellMar>
            <w:top w:w="0" w:type="dxa"/>
            <w:left w:w="108" w:type="dxa"/>
            <w:bottom w:w="0" w:type="dxa"/>
            <w:right w:w="108" w:type="dxa"/>
          </w:tblCellMar>
        </w:tblPrEx>
        <w:trPr>
          <w:trHeight w:val="432" w:hRule="atLeast"/>
        </w:trPr>
        <w:tc>
          <w:tcPr>
            <w:tcW w:w="436" w:type="dxa"/>
            <w:vMerge w:val="continue"/>
            <w:tcBorders>
              <w:left w:val="single" w:color="000000" w:sz="4" w:space="0"/>
              <w:right w:val="single" w:color="000000" w:sz="4" w:space="0"/>
            </w:tcBorders>
            <w:noWrap/>
            <w:vAlign w:val="center"/>
          </w:tcPr>
          <w:p w14:paraId="4FA19CBA">
            <w:pPr>
              <w:jc w:val="center"/>
              <w:textAlignment w:val="center"/>
              <w:rPr>
                <w:rFonts w:hint="eastAsia" w:ascii="方正仿宋_GBK" w:eastAsia="方正仿宋_GBK"/>
                <w:color w:val="000000"/>
                <w:sz w:val="18"/>
                <w:szCs w:val="18"/>
              </w:rPr>
            </w:pPr>
          </w:p>
        </w:tc>
        <w:tc>
          <w:tcPr>
            <w:tcW w:w="713" w:type="dxa"/>
            <w:vMerge w:val="continue"/>
            <w:tcBorders>
              <w:top w:val="single" w:color="000000" w:sz="4" w:space="0"/>
              <w:left w:val="single" w:color="000000" w:sz="4" w:space="0"/>
              <w:bottom w:val="single" w:color="000000" w:sz="4" w:space="0"/>
              <w:right w:val="single" w:color="000000" w:sz="4" w:space="0"/>
            </w:tcBorders>
            <w:noWrap/>
            <w:vAlign w:val="center"/>
          </w:tcPr>
          <w:p w14:paraId="71C39965">
            <w:pPr>
              <w:jc w:val="center"/>
              <w:rPr>
                <w:rFonts w:hint="eastAsia" w:ascii="方正仿宋_GBK" w:hAnsi="宋体" w:eastAsia="方正仿宋_GBK" w:cs="宋体"/>
                <w:color w:val="000000"/>
                <w:sz w:val="18"/>
                <w:szCs w:val="18"/>
              </w:rPr>
            </w:pPr>
          </w:p>
        </w:tc>
        <w:tc>
          <w:tcPr>
            <w:tcW w:w="1418" w:type="dxa"/>
            <w:tcBorders>
              <w:top w:val="single" w:color="000000" w:sz="4" w:space="0"/>
              <w:left w:val="single" w:color="000000" w:sz="4" w:space="0"/>
              <w:bottom w:val="single" w:color="000000" w:sz="4" w:space="0"/>
              <w:right w:val="single" w:color="000000" w:sz="4" w:space="0"/>
            </w:tcBorders>
            <w:noWrap/>
            <w:vAlign w:val="center"/>
          </w:tcPr>
          <w:p w14:paraId="4F5EC68E">
            <w:pPr>
              <w:jc w:val="center"/>
              <w:rPr>
                <w:rFonts w:hint="eastAsia" w:ascii="方正仿宋_GBK" w:eastAsia="方正仿宋_GBK"/>
                <w:spacing w:val="-6"/>
                <w:sz w:val="18"/>
                <w:szCs w:val="18"/>
              </w:rPr>
            </w:pPr>
            <w:r>
              <w:rPr>
                <w:rFonts w:hint="eastAsia" w:ascii="方正仿宋_GBK" w:eastAsia="方正仿宋_GBK"/>
                <w:spacing w:val="-6"/>
                <w:sz w:val="18"/>
                <w:szCs w:val="18"/>
              </w:rPr>
              <w:t>办公场所满意度</w:t>
            </w:r>
          </w:p>
        </w:tc>
        <w:tc>
          <w:tcPr>
            <w:tcW w:w="850" w:type="dxa"/>
            <w:tcBorders>
              <w:top w:val="single" w:color="000000" w:sz="4" w:space="0"/>
              <w:left w:val="single" w:color="000000" w:sz="4" w:space="0"/>
              <w:bottom w:val="single" w:color="000000" w:sz="4" w:space="0"/>
              <w:right w:val="single" w:color="000000" w:sz="4" w:space="0"/>
            </w:tcBorders>
            <w:noWrap/>
            <w:vAlign w:val="center"/>
          </w:tcPr>
          <w:p w14:paraId="276DDA29">
            <w:pPr>
              <w:jc w:val="center"/>
              <w:rPr>
                <w:rFonts w:hint="eastAsia" w:ascii="方正仿宋_GBK" w:eastAsia="方正仿宋_GBK"/>
                <w:sz w:val="18"/>
                <w:szCs w:val="18"/>
              </w:rPr>
            </w:pPr>
            <w:r>
              <w:rPr>
                <w:rFonts w:hint="eastAsia" w:ascii="方正仿宋_GBK" w:eastAsia="方正仿宋_GBK"/>
                <w:sz w:val="18"/>
                <w:szCs w:val="18"/>
              </w:rPr>
              <w:t>≥</w:t>
            </w:r>
          </w:p>
        </w:tc>
        <w:tc>
          <w:tcPr>
            <w:tcW w:w="993" w:type="dxa"/>
            <w:tcBorders>
              <w:top w:val="single" w:color="000000" w:sz="4" w:space="0"/>
              <w:left w:val="single" w:color="000000" w:sz="4" w:space="0"/>
              <w:bottom w:val="single" w:color="000000" w:sz="4" w:space="0"/>
              <w:right w:val="single" w:color="000000" w:sz="4" w:space="0"/>
            </w:tcBorders>
            <w:noWrap/>
            <w:vAlign w:val="center"/>
          </w:tcPr>
          <w:p w14:paraId="49997F74">
            <w:pPr>
              <w:jc w:val="center"/>
              <w:rPr>
                <w:rFonts w:hint="eastAsia" w:ascii="方正仿宋_GBK" w:eastAsia="方正仿宋_GBK"/>
                <w:sz w:val="18"/>
                <w:szCs w:val="18"/>
              </w:rPr>
            </w:pPr>
            <w:r>
              <w:rPr>
                <w:rFonts w:hint="eastAsia" w:ascii="方正仿宋_GBK" w:eastAsia="方正仿宋_GBK"/>
                <w:sz w:val="18"/>
                <w:szCs w:val="18"/>
              </w:rPr>
              <w:t>95</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05081BF8">
            <w:pPr>
              <w:jc w:val="center"/>
              <w:rPr>
                <w:rFonts w:hint="eastAsia" w:ascii="方正仿宋_GBK" w:eastAsia="方正仿宋_GBK"/>
                <w:sz w:val="18"/>
                <w:szCs w:val="18"/>
              </w:rPr>
            </w:pPr>
            <w:r>
              <w:rPr>
                <w:rFonts w:hint="eastAsia" w:ascii="方正仿宋_GBK" w:eastAsia="方正仿宋_GBK"/>
                <w:sz w:val="18"/>
                <w:szCs w:val="18"/>
              </w:rPr>
              <w:t>%</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6901CC05">
            <w:pPr>
              <w:jc w:val="center"/>
              <w:rPr>
                <w:rFonts w:hint="eastAsia" w:ascii="方正仿宋_GBK" w:eastAsia="方正仿宋_GBK"/>
                <w:sz w:val="18"/>
                <w:szCs w:val="18"/>
              </w:rPr>
            </w:pPr>
            <w:r>
              <w:rPr>
                <w:rFonts w:hint="eastAsia" w:ascii="方正仿宋_GBK" w:eastAsia="方正仿宋_GBK"/>
                <w:sz w:val="18"/>
                <w:szCs w:val="18"/>
              </w:rPr>
              <w:t>20</w:t>
            </w:r>
          </w:p>
        </w:tc>
        <w:tc>
          <w:tcPr>
            <w:tcW w:w="851" w:type="dxa"/>
            <w:tcBorders>
              <w:top w:val="single" w:color="000000" w:sz="4" w:space="0"/>
              <w:left w:val="single" w:color="000000" w:sz="4" w:space="0"/>
              <w:bottom w:val="single" w:color="000000" w:sz="4" w:space="0"/>
              <w:right w:val="single" w:color="000000" w:sz="4" w:space="0"/>
            </w:tcBorders>
            <w:noWrap/>
            <w:vAlign w:val="center"/>
          </w:tcPr>
          <w:p w14:paraId="1E7D4C2A">
            <w:pPr>
              <w:jc w:val="center"/>
              <w:rPr>
                <w:rFonts w:hint="eastAsia" w:ascii="方正仿宋_GBK" w:eastAsia="方正仿宋_GBK"/>
                <w:sz w:val="18"/>
                <w:szCs w:val="18"/>
              </w:rPr>
            </w:pPr>
            <w:r>
              <w:rPr>
                <w:rFonts w:hint="eastAsia" w:ascii="方正仿宋_GBK" w:eastAsia="方正仿宋_GBK"/>
                <w:sz w:val="18"/>
                <w:szCs w:val="18"/>
              </w:rPr>
              <w:t>97</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5A401854">
            <w:pPr>
              <w:jc w:val="center"/>
              <w:rPr>
                <w:rFonts w:hint="eastAsia" w:ascii="方正仿宋_GBK" w:eastAsia="方正仿宋_GBK"/>
                <w:sz w:val="18"/>
                <w:szCs w:val="18"/>
              </w:rPr>
            </w:pPr>
            <w:r>
              <w:rPr>
                <w:rFonts w:hint="eastAsia" w:ascii="方正仿宋_GBK" w:eastAsia="方正仿宋_GBK"/>
                <w:sz w:val="18"/>
                <w:szCs w:val="18"/>
              </w:rPr>
              <w:t>20</w:t>
            </w:r>
          </w:p>
        </w:tc>
        <w:tc>
          <w:tcPr>
            <w:tcW w:w="600" w:type="dxa"/>
            <w:tcBorders>
              <w:top w:val="single" w:color="000000" w:sz="4" w:space="0"/>
              <w:left w:val="single" w:color="000000" w:sz="4" w:space="0"/>
              <w:bottom w:val="single" w:color="000000" w:sz="4" w:space="0"/>
              <w:right w:val="single" w:color="000000" w:sz="4" w:space="0"/>
            </w:tcBorders>
            <w:noWrap/>
            <w:vAlign w:val="center"/>
          </w:tcPr>
          <w:p w14:paraId="0A8F0F3C">
            <w:pPr>
              <w:jc w:val="center"/>
              <w:rPr>
                <w:rFonts w:hint="eastAsia" w:ascii="方正仿宋_GBK" w:hAnsi="宋体" w:eastAsia="方正仿宋_GBK" w:cs="宋体"/>
                <w:color w:val="000000"/>
                <w:sz w:val="18"/>
                <w:szCs w:val="18"/>
              </w:rPr>
            </w:pPr>
          </w:p>
        </w:tc>
        <w:tc>
          <w:tcPr>
            <w:tcW w:w="818" w:type="dxa"/>
            <w:vMerge w:val="continue"/>
            <w:tcBorders>
              <w:top w:val="single" w:color="000000" w:sz="4" w:space="0"/>
              <w:left w:val="single" w:color="000000" w:sz="4" w:space="0"/>
              <w:bottom w:val="single" w:color="000000" w:sz="4" w:space="0"/>
              <w:right w:val="single" w:color="000000" w:sz="4" w:space="0"/>
            </w:tcBorders>
            <w:noWrap/>
            <w:vAlign w:val="center"/>
          </w:tcPr>
          <w:p w14:paraId="67B00F58">
            <w:pPr>
              <w:jc w:val="center"/>
              <w:rPr>
                <w:rFonts w:hint="eastAsia" w:ascii="方正仿宋_GBK" w:hAnsi="宋体" w:eastAsia="方正仿宋_GBK" w:cs="宋体"/>
                <w:color w:val="000000"/>
                <w:sz w:val="18"/>
                <w:szCs w:val="18"/>
              </w:rPr>
            </w:pPr>
          </w:p>
        </w:tc>
      </w:tr>
      <w:tr w14:paraId="5798342F">
        <w:tblPrEx>
          <w:tblCellMar>
            <w:top w:w="0" w:type="dxa"/>
            <w:left w:w="108" w:type="dxa"/>
            <w:bottom w:w="0" w:type="dxa"/>
            <w:right w:w="108" w:type="dxa"/>
          </w:tblCellMar>
        </w:tblPrEx>
        <w:trPr>
          <w:trHeight w:val="432" w:hRule="atLeast"/>
        </w:trPr>
        <w:tc>
          <w:tcPr>
            <w:tcW w:w="436" w:type="dxa"/>
            <w:vMerge w:val="continue"/>
            <w:tcBorders>
              <w:left w:val="single" w:color="000000" w:sz="4" w:space="0"/>
              <w:right w:val="single" w:color="000000" w:sz="4" w:space="0"/>
            </w:tcBorders>
            <w:noWrap/>
            <w:vAlign w:val="center"/>
          </w:tcPr>
          <w:p w14:paraId="137A8C43">
            <w:pPr>
              <w:jc w:val="center"/>
              <w:textAlignment w:val="center"/>
              <w:rPr>
                <w:rFonts w:hint="eastAsia" w:ascii="方正仿宋_GBK" w:eastAsia="方正仿宋_GBK"/>
                <w:color w:val="000000"/>
                <w:sz w:val="18"/>
                <w:szCs w:val="18"/>
              </w:rPr>
            </w:pPr>
          </w:p>
        </w:tc>
        <w:tc>
          <w:tcPr>
            <w:tcW w:w="713" w:type="dxa"/>
            <w:vMerge w:val="continue"/>
            <w:tcBorders>
              <w:top w:val="single" w:color="000000" w:sz="4" w:space="0"/>
              <w:left w:val="single" w:color="000000" w:sz="4" w:space="0"/>
              <w:bottom w:val="single" w:color="000000" w:sz="4" w:space="0"/>
              <w:right w:val="single" w:color="000000" w:sz="4" w:space="0"/>
            </w:tcBorders>
            <w:noWrap/>
            <w:vAlign w:val="center"/>
          </w:tcPr>
          <w:p w14:paraId="740A487F">
            <w:pPr>
              <w:jc w:val="center"/>
              <w:rPr>
                <w:rFonts w:hint="eastAsia" w:ascii="方正仿宋_GBK" w:hAnsi="宋体" w:eastAsia="方正仿宋_GBK" w:cs="宋体"/>
                <w:color w:val="000000"/>
                <w:sz w:val="18"/>
                <w:szCs w:val="18"/>
              </w:rPr>
            </w:pPr>
          </w:p>
        </w:tc>
        <w:tc>
          <w:tcPr>
            <w:tcW w:w="1418" w:type="dxa"/>
            <w:tcBorders>
              <w:top w:val="single" w:color="000000" w:sz="4" w:space="0"/>
              <w:left w:val="single" w:color="000000" w:sz="4" w:space="0"/>
              <w:bottom w:val="single" w:color="000000" w:sz="4" w:space="0"/>
              <w:right w:val="single" w:color="000000" w:sz="4" w:space="0"/>
            </w:tcBorders>
            <w:noWrap/>
            <w:vAlign w:val="center"/>
          </w:tcPr>
          <w:p w14:paraId="48FDAFE3">
            <w:pPr>
              <w:jc w:val="center"/>
              <w:rPr>
                <w:rFonts w:hint="eastAsia" w:ascii="方正仿宋_GBK" w:eastAsia="方正仿宋_GBK"/>
                <w:spacing w:val="-6"/>
                <w:sz w:val="18"/>
                <w:szCs w:val="18"/>
              </w:rPr>
            </w:pPr>
            <w:r>
              <w:rPr>
                <w:rFonts w:hint="eastAsia" w:ascii="方正仿宋_GBK" w:eastAsia="方正仿宋_GBK"/>
                <w:spacing w:val="-6"/>
                <w:sz w:val="18"/>
                <w:szCs w:val="18"/>
              </w:rPr>
              <w:t>预算执行完成率</w:t>
            </w:r>
          </w:p>
        </w:tc>
        <w:tc>
          <w:tcPr>
            <w:tcW w:w="850" w:type="dxa"/>
            <w:tcBorders>
              <w:top w:val="single" w:color="000000" w:sz="4" w:space="0"/>
              <w:left w:val="single" w:color="000000" w:sz="4" w:space="0"/>
              <w:bottom w:val="single" w:color="000000" w:sz="4" w:space="0"/>
              <w:right w:val="single" w:color="000000" w:sz="4" w:space="0"/>
            </w:tcBorders>
            <w:noWrap/>
            <w:vAlign w:val="center"/>
          </w:tcPr>
          <w:p w14:paraId="572EE501">
            <w:pPr>
              <w:jc w:val="center"/>
              <w:rPr>
                <w:rFonts w:hint="eastAsia" w:ascii="方正仿宋_GBK" w:eastAsia="方正仿宋_GBK"/>
                <w:sz w:val="18"/>
                <w:szCs w:val="18"/>
              </w:rPr>
            </w:pPr>
            <w:r>
              <w:rPr>
                <w:rFonts w:hint="eastAsia" w:ascii="方正仿宋_GBK" w:eastAsia="方正仿宋_GBK"/>
                <w:sz w:val="18"/>
                <w:szCs w:val="18"/>
              </w:rPr>
              <w:t>=</w:t>
            </w:r>
          </w:p>
        </w:tc>
        <w:tc>
          <w:tcPr>
            <w:tcW w:w="993" w:type="dxa"/>
            <w:tcBorders>
              <w:top w:val="single" w:color="000000" w:sz="4" w:space="0"/>
              <w:left w:val="single" w:color="000000" w:sz="4" w:space="0"/>
              <w:bottom w:val="single" w:color="000000" w:sz="4" w:space="0"/>
              <w:right w:val="single" w:color="000000" w:sz="4" w:space="0"/>
            </w:tcBorders>
            <w:noWrap/>
            <w:vAlign w:val="center"/>
          </w:tcPr>
          <w:p w14:paraId="6437C047">
            <w:pPr>
              <w:jc w:val="center"/>
              <w:rPr>
                <w:rFonts w:hint="eastAsia" w:ascii="方正仿宋_GBK" w:eastAsia="方正仿宋_GBK"/>
                <w:sz w:val="18"/>
                <w:szCs w:val="18"/>
              </w:rPr>
            </w:pPr>
            <w:r>
              <w:rPr>
                <w:rFonts w:hint="eastAsia" w:ascii="方正仿宋_GBK" w:eastAsia="方正仿宋_GBK"/>
                <w:sz w:val="18"/>
                <w:szCs w:val="18"/>
              </w:rPr>
              <w:t>100</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75016FCB">
            <w:pPr>
              <w:jc w:val="center"/>
              <w:rPr>
                <w:rFonts w:hint="eastAsia" w:ascii="方正仿宋_GBK" w:eastAsia="方正仿宋_GBK"/>
                <w:sz w:val="18"/>
                <w:szCs w:val="18"/>
              </w:rPr>
            </w:pPr>
            <w:r>
              <w:rPr>
                <w:rFonts w:hint="eastAsia" w:ascii="方正仿宋_GBK" w:eastAsia="方正仿宋_GBK"/>
                <w:sz w:val="18"/>
                <w:szCs w:val="18"/>
              </w:rPr>
              <w:t>%</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7F81ED7B">
            <w:pPr>
              <w:jc w:val="center"/>
              <w:rPr>
                <w:rFonts w:hint="eastAsia" w:ascii="方正仿宋_GBK" w:eastAsia="方正仿宋_GBK"/>
                <w:sz w:val="18"/>
                <w:szCs w:val="18"/>
              </w:rPr>
            </w:pPr>
            <w:r>
              <w:rPr>
                <w:rFonts w:hint="eastAsia" w:ascii="方正仿宋_GBK" w:eastAsia="方正仿宋_GBK"/>
                <w:sz w:val="18"/>
                <w:szCs w:val="18"/>
              </w:rPr>
              <w:t>10</w:t>
            </w:r>
          </w:p>
        </w:tc>
        <w:tc>
          <w:tcPr>
            <w:tcW w:w="851" w:type="dxa"/>
            <w:tcBorders>
              <w:top w:val="single" w:color="000000" w:sz="4" w:space="0"/>
              <w:left w:val="single" w:color="000000" w:sz="4" w:space="0"/>
              <w:bottom w:val="single" w:color="000000" w:sz="4" w:space="0"/>
              <w:right w:val="single" w:color="000000" w:sz="4" w:space="0"/>
            </w:tcBorders>
            <w:noWrap/>
            <w:vAlign w:val="center"/>
          </w:tcPr>
          <w:p w14:paraId="33B81D4D">
            <w:pPr>
              <w:jc w:val="center"/>
              <w:rPr>
                <w:rFonts w:hint="eastAsia" w:ascii="方正仿宋_GBK" w:eastAsia="方正仿宋_GBK"/>
                <w:sz w:val="18"/>
                <w:szCs w:val="18"/>
              </w:rPr>
            </w:pPr>
            <w:r>
              <w:rPr>
                <w:rFonts w:hint="eastAsia" w:ascii="方正仿宋_GBK" w:eastAsia="方正仿宋_GBK"/>
                <w:sz w:val="18"/>
                <w:szCs w:val="18"/>
              </w:rPr>
              <w:t>100</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31C86328">
            <w:pPr>
              <w:jc w:val="center"/>
              <w:rPr>
                <w:rFonts w:hint="eastAsia" w:ascii="方正仿宋_GBK" w:eastAsia="方正仿宋_GBK"/>
                <w:sz w:val="18"/>
                <w:szCs w:val="18"/>
              </w:rPr>
            </w:pPr>
            <w:r>
              <w:rPr>
                <w:rFonts w:hint="eastAsia" w:ascii="方正仿宋_GBK" w:eastAsia="方正仿宋_GBK"/>
                <w:sz w:val="18"/>
                <w:szCs w:val="18"/>
              </w:rPr>
              <w:t>10</w:t>
            </w:r>
          </w:p>
        </w:tc>
        <w:tc>
          <w:tcPr>
            <w:tcW w:w="600" w:type="dxa"/>
            <w:tcBorders>
              <w:top w:val="single" w:color="000000" w:sz="4" w:space="0"/>
              <w:left w:val="single" w:color="000000" w:sz="4" w:space="0"/>
              <w:bottom w:val="single" w:color="000000" w:sz="4" w:space="0"/>
              <w:right w:val="single" w:color="000000" w:sz="4" w:space="0"/>
            </w:tcBorders>
            <w:noWrap/>
            <w:vAlign w:val="center"/>
          </w:tcPr>
          <w:p w14:paraId="6AB03155">
            <w:pPr>
              <w:jc w:val="center"/>
              <w:rPr>
                <w:rFonts w:hint="eastAsia" w:ascii="方正仿宋_GBK" w:hAnsi="宋体" w:eastAsia="方正仿宋_GBK" w:cs="宋体"/>
                <w:color w:val="000000"/>
                <w:sz w:val="18"/>
                <w:szCs w:val="18"/>
              </w:rPr>
            </w:pPr>
          </w:p>
        </w:tc>
        <w:tc>
          <w:tcPr>
            <w:tcW w:w="818" w:type="dxa"/>
            <w:vMerge w:val="continue"/>
            <w:tcBorders>
              <w:top w:val="single" w:color="000000" w:sz="4" w:space="0"/>
              <w:left w:val="single" w:color="000000" w:sz="4" w:space="0"/>
              <w:bottom w:val="single" w:color="000000" w:sz="4" w:space="0"/>
              <w:right w:val="single" w:color="000000" w:sz="4" w:space="0"/>
            </w:tcBorders>
            <w:noWrap/>
            <w:vAlign w:val="center"/>
          </w:tcPr>
          <w:p w14:paraId="065A64DE">
            <w:pPr>
              <w:jc w:val="center"/>
              <w:rPr>
                <w:rFonts w:hint="eastAsia" w:ascii="方正仿宋_GBK" w:hAnsi="宋体" w:eastAsia="方正仿宋_GBK" w:cs="宋体"/>
                <w:color w:val="000000"/>
                <w:sz w:val="18"/>
                <w:szCs w:val="18"/>
              </w:rPr>
            </w:pPr>
          </w:p>
        </w:tc>
      </w:tr>
    </w:tbl>
    <w:p w14:paraId="2161E64F">
      <w:pPr>
        <w:spacing w:line="560" w:lineRule="exact"/>
        <w:ind w:firstLine="643" w:firstLineChars="200"/>
        <w:rPr>
          <w:rFonts w:ascii="方正黑体_GBK" w:eastAsia="方正黑体_GBK"/>
          <w:sz w:val="32"/>
          <w:szCs w:val="32"/>
        </w:rPr>
      </w:pPr>
      <w:r>
        <w:rPr>
          <w:rFonts w:hint="eastAsia" w:ascii="方正黑体_GBK" w:eastAsia="方正黑体_GBK"/>
          <w:b/>
          <w:bCs/>
          <w:sz w:val="32"/>
          <w:szCs w:val="32"/>
        </w:rPr>
        <w:t>六、专业名词解释</w:t>
      </w:r>
    </w:p>
    <w:p w14:paraId="2D421DA9">
      <w:pPr>
        <w:spacing w:line="560" w:lineRule="exact"/>
        <w:ind w:firstLine="643" w:firstLineChars="200"/>
        <w:rPr>
          <w:rFonts w:ascii="方正仿宋_GBK" w:eastAsia="方正仿宋_GBK"/>
          <w:sz w:val="32"/>
          <w:szCs w:val="32"/>
        </w:rPr>
      </w:pPr>
      <w:r>
        <w:rPr>
          <w:rFonts w:hint="eastAsia" w:ascii="方正楷体_GBK" w:eastAsia="方正楷体_GBK"/>
          <w:b/>
          <w:bCs/>
          <w:sz w:val="32"/>
          <w:szCs w:val="32"/>
        </w:rPr>
        <w:t>（一）财政拨款收入</w:t>
      </w:r>
      <w:r>
        <w:rPr>
          <w:rFonts w:hint="eastAsia" w:ascii="方正楷体_GBK" w:eastAsia="方正楷体_GBK"/>
          <w:sz w:val="32"/>
          <w:szCs w:val="32"/>
        </w:rPr>
        <w:t>：</w:t>
      </w:r>
      <w:r>
        <w:rPr>
          <w:rFonts w:hint="eastAsia" w:ascii="方正仿宋_GBK" w:eastAsia="方正仿宋_GBK"/>
          <w:sz w:val="32"/>
          <w:szCs w:val="32"/>
        </w:rPr>
        <w:t>指本年度从本级财政部门取得的财政拨款，包括一般公共预算财政拨款和政府性基金预算财政拨款。</w:t>
      </w:r>
    </w:p>
    <w:p w14:paraId="130F83F6">
      <w:pPr>
        <w:spacing w:line="560" w:lineRule="exact"/>
        <w:ind w:firstLine="643" w:firstLineChars="200"/>
        <w:rPr>
          <w:rFonts w:ascii="方正仿宋_GBK" w:eastAsia="方正仿宋_GBK"/>
          <w:sz w:val="32"/>
          <w:szCs w:val="32"/>
        </w:rPr>
      </w:pPr>
      <w:r>
        <w:rPr>
          <w:rFonts w:hint="eastAsia" w:ascii="方正楷体_GBK" w:eastAsia="方正楷体_GBK"/>
          <w:b/>
          <w:bCs/>
          <w:sz w:val="32"/>
          <w:szCs w:val="32"/>
        </w:rPr>
        <w:t>（二）事业收入：</w:t>
      </w:r>
      <w:r>
        <w:rPr>
          <w:rFonts w:hint="eastAsia" w:ascii="方正仿宋_GBK" w:eastAsia="方正仿宋_GBK"/>
          <w:sz w:val="32"/>
          <w:szCs w:val="32"/>
        </w:rPr>
        <w:t>指事业单位开展专业业务活动及其辅助活动取得的现金流入；事业单位收到的财政专户实际核拨的教育收费等资金在此反映。</w:t>
      </w:r>
    </w:p>
    <w:p w14:paraId="2CE8FBC3">
      <w:pPr>
        <w:spacing w:line="560" w:lineRule="exact"/>
        <w:ind w:firstLine="643" w:firstLineChars="200"/>
        <w:rPr>
          <w:rFonts w:ascii="方正仿宋_GBK" w:eastAsia="方正仿宋_GBK"/>
          <w:sz w:val="32"/>
          <w:szCs w:val="32"/>
        </w:rPr>
      </w:pPr>
      <w:r>
        <w:rPr>
          <w:rFonts w:hint="eastAsia" w:ascii="方正楷体_GBK" w:eastAsia="方正楷体_GBK"/>
          <w:b/>
          <w:bCs/>
          <w:sz w:val="32"/>
          <w:szCs w:val="32"/>
        </w:rPr>
        <w:t>（三）经营收入：</w:t>
      </w:r>
      <w:r>
        <w:rPr>
          <w:rFonts w:hint="eastAsia" w:ascii="方正仿宋_GBK" w:eastAsia="方正仿宋_GBK"/>
          <w:sz w:val="32"/>
          <w:szCs w:val="32"/>
        </w:rPr>
        <w:t>指事业单位在专业业务活动及其辅助活动之外开展非独立核算经营活动取得的现金流入。</w:t>
      </w:r>
    </w:p>
    <w:p w14:paraId="0D217CAC">
      <w:pPr>
        <w:spacing w:line="560" w:lineRule="exact"/>
        <w:ind w:firstLine="643" w:firstLineChars="200"/>
        <w:rPr>
          <w:rFonts w:ascii="方正仿宋_GBK" w:eastAsia="方正仿宋_GBK"/>
          <w:sz w:val="32"/>
          <w:szCs w:val="32"/>
        </w:rPr>
      </w:pPr>
      <w:r>
        <w:rPr>
          <w:rFonts w:hint="eastAsia" w:ascii="方正楷体_GBK" w:eastAsia="方正楷体_GBK"/>
          <w:b/>
          <w:bCs/>
          <w:sz w:val="32"/>
          <w:szCs w:val="32"/>
        </w:rPr>
        <w:t>（四）其他收入：</w:t>
      </w:r>
      <w:r>
        <w:rPr>
          <w:rFonts w:hint="eastAsia" w:ascii="方正仿宋_GBK" w:eastAsia="方正仿宋_GBK"/>
          <w:sz w:val="32"/>
          <w:szCs w:val="32"/>
        </w:rPr>
        <w:t xml:space="preserve"> 指单位取得的除“财政拨款收入”、“事业收入”、“经营收入”等以外的收入，包括未纳入财政预算或财政专户管理的投资收益、银行存款利息收入、租金收入、 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14:paraId="687B9A24">
      <w:pPr>
        <w:spacing w:line="560" w:lineRule="exact"/>
        <w:ind w:firstLine="643" w:firstLineChars="200"/>
        <w:rPr>
          <w:rFonts w:ascii="方正仿宋_GBK" w:eastAsia="方正仿宋_GBK"/>
          <w:sz w:val="32"/>
          <w:szCs w:val="32"/>
        </w:rPr>
      </w:pPr>
      <w:r>
        <w:rPr>
          <w:rFonts w:hint="eastAsia" w:ascii="方正楷体_GBK" w:eastAsia="方正楷体_GBK"/>
          <w:b/>
          <w:bCs/>
          <w:sz w:val="32"/>
          <w:szCs w:val="32"/>
        </w:rPr>
        <w:t>（五）使用非财政拨款结余：</w:t>
      </w:r>
      <w:r>
        <w:rPr>
          <w:rFonts w:hint="eastAsia" w:ascii="方正仿宋_GBK" w:eastAsia="方正仿宋_GBK"/>
          <w:sz w:val="32"/>
          <w:szCs w:val="32"/>
        </w:rPr>
        <w:t>指单位在当年的“财政拨款收入”、“事业收入”、“经营收入”、“其他收入”等不足以安排当年支出的情况下，使用以前年度积累的非财政拨款结余弥补本年度收支缺口的资金。</w:t>
      </w:r>
    </w:p>
    <w:p w14:paraId="7ADAEE8E">
      <w:pPr>
        <w:spacing w:line="560" w:lineRule="exact"/>
        <w:ind w:firstLine="643" w:firstLineChars="200"/>
        <w:rPr>
          <w:rFonts w:ascii="方正仿宋_GBK" w:eastAsia="方正仿宋_GBK"/>
          <w:sz w:val="32"/>
          <w:szCs w:val="32"/>
        </w:rPr>
      </w:pPr>
      <w:r>
        <w:rPr>
          <w:rFonts w:hint="eastAsia" w:ascii="方正楷体_GBK" w:eastAsia="方正楷体_GBK"/>
          <w:b/>
          <w:bCs/>
          <w:sz w:val="32"/>
          <w:szCs w:val="32"/>
        </w:rPr>
        <w:t>（六）年初结转和结余：</w:t>
      </w:r>
      <w:r>
        <w:rPr>
          <w:rFonts w:hint="eastAsia" w:ascii="方正仿宋_GBK" w:eastAsia="方正仿宋_GBK"/>
          <w:sz w:val="32"/>
          <w:szCs w:val="32"/>
        </w:rPr>
        <w:t>指单位上年结转本年使用的基本支出结转、项目支出结转和结余、经营结余。</w:t>
      </w:r>
    </w:p>
    <w:p w14:paraId="68C907A9">
      <w:pPr>
        <w:spacing w:line="560" w:lineRule="exact"/>
        <w:ind w:firstLine="643" w:firstLineChars="200"/>
        <w:rPr>
          <w:rFonts w:ascii="方正仿宋_GBK" w:eastAsia="方正仿宋_GBK"/>
          <w:sz w:val="32"/>
          <w:szCs w:val="32"/>
        </w:rPr>
      </w:pPr>
      <w:r>
        <w:rPr>
          <w:rFonts w:hint="eastAsia" w:ascii="方正楷体_GBK" w:eastAsia="方正楷体_GBK"/>
          <w:b/>
          <w:bCs/>
          <w:sz w:val="32"/>
          <w:szCs w:val="32"/>
        </w:rPr>
        <w:t>（七）结余分配：</w:t>
      </w:r>
      <w:r>
        <w:rPr>
          <w:rFonts w:hint="eastAsia" w:ascii="方正仿宋_GBK" w:eastAsia="方正仿宋_GBK"/>
          <w:sz w:val="32"/>
          <w:szCs w:val="32"/>
        </w:rPr>
        <w:t>指单位按照国家有关规定，缴纳所得税、提取专用基金、转入非财政拨款结余等当年结余的分配情况。</w:t>
      </w:r>
    </w:p>
    <w:p w14:paraId="3A74C77C">
      <w:pPr>
        <w:spacing w:line="560" w:lineRule="exact"/>
        <w:ind w:firstLine="643" w:firstLineChars="200"/>
        <w:rPr>
          <w:rFonts w:ascii="方正仿宋_GBK" w:eastAsia="方正仿宋_GBK"/>
          <w:sz w:val="32"/>
          <w:szCs w:val="32"/>
        </w:rPr>
      </w:pPr>
      <w:r>
        <w:rPr>
          <w:rFonts w:hint="eastAsia" w:ascii="方正楷体_GBK" w:eastAsia="方正楷体_GBK"/>
          <w:b/>
          <w:bCs/>
          <w:sz w:val="32"/>
          <w:szCs w:val="32"/>
        </w:rPr>
        <w:t>（八）年末结转和结余</w:t>
      </w:r>
      <w:r>
        <w:rPr>
          <w:rFonts w:hint="eastAsia" w:ascii="方正仿宋_GBK" w:eastAsia="方正仿宋_GBK"/>
          <w:sz w:val="32"/>
          <w:szCs w:val="32"/>
        </w:rPr>
        <w:t>：指单位结转下年的基本支出结转、项目支出结转和结余、经营结余。</w:t>
      </w:r>
    </w:p>
    <w:p w14:paraId="5FDBBFDE">
      <w:pPr>
        <w:spacing w:line="560" w:lineRule="exact"/>
        <w:ind w:firstLine="643" w:firstLineChars="200"/>
        <w:rPr>
          <w:rFonts w:ascii="方正仿宋_GBK" w:eastAsia="方正仿宋_GBK"/>
          <w:sz w:val="32"/>
          <w:szCs w:val="32"/>
        </w:rPr>
      </w:pPr>
      <w:r>
        <w:rPr>
          <w:rFonts w:hint="eastAsia" w:ascii="方正楷体_GBK" w:eastAsia="方正楷体_GBK"/>
          <w:b/>
          <w:bCs/>
          <w:sz w:val="32"/>
          <w:szCs w:val="32"/>
        </w:rPr>
        <w:t>（九）基本支出：</w:t>
      </w:r>
      <w:r>
        <w:rPr>
          <w:rFonts w:hint="eastAsia" w:ascii="方正仿宋_GBK" w:eastAsia="方正仿宋_GBK"/>
          <w:sz w:val="32"/>
          <w:szCs w:val="32"/>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4D4304C7">
      <w:pPr>
        <w:spacing w:line="560" w:lineRule="exact"/>
        <w:ind w:firstLine="643" w:firstLineChars="200"/>
        <w:rPr>
          <w:rFonts w:ascii="方正仿宋_GBK" w:eastAsia="方正仿宋_GBK"/>
          <w:sz w:val="32"/>
          <w:szCs w:val="32"/>
        </w:rPr>
      </w:pPr>
      <w:r>
        <w:rPr>
          <w:rFonts w:hint="eastAsia" w:ascii="方正楷体_GBK" w:eastAsia="方正楷体_GBK"/>
          <w:b/>
          <w:bCs/>
          <w:sz w:val="32"/>
          <w:szCs w:val="32"/>
        </w:rPr>
        <w:t>（十）项目支出：</w:t>
      </w:r>
      <w:r>
        <w:rPr>
          <w:rFonts w:hint="eastAsia" w:ascii="方正仿宋_GBK" w:eastAsia="方正仿宋_GBK"/>
          <w:sz w:val="32"/>
          <w:szCs w:val="32"/>
        </w:rPr>
        <w:t>指在基本支出之外为完成特定行政任务和事业发展目标所发生的支出。</w:t>
      </w:r>
    </w:p>
    <w:p w14:paraId="3A838664">
      <w:pPr>
        <w:spacing w:line="560" w:lineRule="exact"/>
        <w:ind w:firstLine="643" w:firstLineChars="200"/>
        <w:rPr>
          <w:rFonts w:ascii="方正仿宋_GBK" w:eastAsia="方正仿宋_GBK"/>
          <w:sz w:val="32"/>
          <w:szCs w:val="32"/>
        </w:rPr>
      </w:pPr>
      <w:r>
        <w:rPr>
          <w:rFonts w:hint="eastAsia" w:ascii="方正楷体_GBK" w:eastAsia="方正楷体_GBK"/>
          <w:b/>
          <w:bCs/>
          <w:sz w:val="32"/>
          <w:szCs w:val="32"/>
        </w:rPr>
        <w:t>（十一）经营支出：</w:t>
      </w:r>
      <w:r>
        <w:rPr>
          <w:rFonts w:hint="eastAsia" w:ascii="方正仿宋_GBK" w:eastAsia="方正仿宋_GBK"/>
          <w:sz w:val="32"/>
          <w:szCs w:val="32"/>
        </w:rPr>
        <w:t>指事业单位在专业业务活动及其辅助活动之外开展非独立核算经营活动发生的支出。</w:t>
      </w:r>
    </w:p>
    <w:p w14:paraId="6C2F792E">
      <w:pPr>
        <w:spacing w:line="560" w:lineRule="exact"/>
        <w:ind w:firstLine="643" w:firstLineChars="200"/>
        <w:rPr>
          <w:rFonts w:ascii="方正仿宋_GBK" w:eastAsia="方正仿宋_GBK"/>
          <w:sz w:val="32"/>
          <w:szCs w:val="32"/>
        </w:rPr>
      </w:pPr>
      <w:r>
        <w:rPr>
          <w:rFonts w:hint="eastAsia" w:ascii="方正楷体_GBK" w:eastAsia="方正楷体_GBK"/>
          <w:b/>
          <w:bCs/>
          <w:sz w:val="32"/>
          <w:szCs w:val="32"/>
        </w:rPr>
        <w:t xml:space="preserve">（十二）“三公”经费： </w:t>
      </w:r>
      <w:r>
        <w:rPr>
          <w:rFonts w:hint="eastAsia" w:ascii="方正仿宋_GBK" w:eastAsia="方正仿宋_GBK"/>
          <w:sz w:val="32"/>
          <w:szCs w:val="32"/>
        </w:rPr>
        <w:t>指用一般公共预算财政拨款安排的因公出国（境）费、公务用车购置及运行维护费、公务接待费。其中，因公出国（境）费反映单位公务出国（境）的国际旅费、国 外城市间交通费、住宿费、伙食费、培训费、公杂费等支出；公务用车购置费反映单位公务用车购置支出（含车辆购置税）；公务用车运行维护费反映单位按规定保 留的公务用车燃料费、维修费、过路过桥费、保险费、安全奖励费用等支出；公务接待费反映单位按规定开支的各类公务接待（含外宾接待）支出。</w:t>
      </w:r>
    </w:p>
    <w:p w14:paraId="7FF32BE1">
      <w:pPr>
        <w:spacing w:line="560" w:lineRule="exact"/>
        <w:ind w:firstLine="643" w:firstLineChars="200"/>
        <w:rPr>
          <w:rFonts w:ascii="方正仿宋_GBK" w:eastAsia="方正仿宋_GBK"/>
          <w:sz w:val="32"/>
          <w:szCs w:val="32"/>
        </w:rPr>
      </w:pPr>
      <w:r>
        <w:rPr>
          <w:rFonts w:hint="eastAsia" w:ascii="方正楷体_GBK" w:eastAsia="方正楷体_GBK"/>
          <w:b/>
          <w:bCs/>
          <w:sz w:val="32"/>
          <w:szCs w:val="32"/>
        </w:rPr>
        <w:t xml:space="preserve">（十三）机关运行经费： </w:t>
      </w:r>
      <w:r>
        <w:rPr>
          <w:rFonts w:hint="eastAsia" w:ascii="方正仿宋_GBK" w:eastAsia="方正仿宋_GBK"/>
          <w:sz w:val="32"/>
          <w:szCs w:val="32"/>
        </w:rPr>
        <w:t>为保障行政单位（含参照公务员法管理的事业单位）运行用于购买货物和服务等的各项公用经费，包括办公及印刷费、邮电费、差旅费、会议费、福利费、日常维护 费、专用材料及一般设备购置费、办公用房水电费、办公用房取暖费、办公用房物业管理费、公务用车运行维护费以及其他费用。</w:t>
      </w:r>
    </w:p>
    <w:p w14:paraId="57F9AF96">
      <w:pPr>
        <w:spacing w:line="560" w:lineRule="exact"/>
        <w:ind w:firstLine="643" w:firstLineChars="200"/>
        <w:rPr>
          <w:rFonts w:ascii="方正仿宋_GBK" w:eastAsia="方正仿宋_GBK"/>
          <w:sz w:val="32"/>
          <w:szCs w:val="32"/>
        </w:rPr>
      </w:pPr>
      <w:r>
        <w:rPr>
          <w:rFonts w:hint="eastAsia" w:ascii="方正楷体_GBK" w:eastAsia="方正楷体_GBK"/>
          <w:b/>
          <w:bCs/>
          <w:sz w:val="32"/>
          <w:szCs w:val="32"/>
        </w:rPr>
        <w:t>（十四）工资福利支出（支出经济分类科目类级）：</w:t>
      </w:r>
      <w:r>
        <w:rPr>
          <w:rFonts w:hint="eastAsia" w:ascii="方正仿宋_GBK" w:eastAsia="方正仿宋_GBK"/>
          <w:sz w:val="32"/>
          <w:szCs w:val="32"/>
        </w:rPr>
        <w:t>反映单位开支的在职职工和编制外长期聘用人员的各类劳动报酬，以及为上述人员缴纳的各项社会保险费等。</w:t>
      </w:r>
    </w:p>
    <w:p w14:paraId="21084CFB">
      <w:pPr>
        <w:spacing w:line="560" w:lineRule="exact"/>
        <w:ind w:firstLine="643" w:firstLineChars="200"/>
        <w:rPr>
          <w:rFonts w:ascii="方正仿宋_GBK" w:eastAsia="方正仿宋_GBK"/>
          <w:sz w:val="32"/>
          <w:szCs w:val="32"/>
        </w:rPr>
      </w:pPr>
      <w:r>
        <w:rPr>
          <w:rFonts w:hint="eastAsia" w:ascii="方正楷体_GBK" w:eastAsia="方正楷体_GBK"/>
          <w:b/>
          <w:bCs/>
          <w:sz w:val="32"/>
          <w:szCs w:val="32"/>
        </w:rPr>
        <w:t>（十五）商品和服务支出（支出经济分类科目类级）：</w:t>
      </w:r>
      <w:r>
        <w:rPr>
          <w:rFonts w:hint="eastAsia" w:ascii="方正仿宋_GBK" w:eastAsia="方正仿宋_GBK"/>
          <w:sz w:val="32"/>
          <w:szCs w:val="32"/>
        </w:rPr>
        <w:t>反映单位购买商品和服务的支出（不包括用于购置固定资产的支出、战略性和应急储备支出）。</w:t>
      </w:r>
    </w:p>
    <w:p w14:paraId="6E0CD433">
      <w:pPr>
        <w:spacing w:line="560" w:lineRule="exact"/>
        <w:ind w:firstLine="643" w:firstLineChars="200"/>
        <w:rPr>
          <w:rFonts w:ascii="方正仿宋_GBK" w:eastAsia="方正仿宋_GBK"/>
          <w:sz w:val="32"/>
          <w:szCs w:val="32"/>
        </w:rPr>
      </w:pPr>
      <w:r>
        <w:rPr>
          <w:rFonts w:hint="eastAsia" w:ascii="方正楷体_GBK" w:eastAsia="方正楷体_GBK"/>
          <w:b/>
          <w:bCs/>
          <w:sz w:val="32"/>
          <w:szCs w:val="32"/>
        </w:rPr>
        <w:t>（十六）对个人和家庭的补助（支出经济分类科目类级）：</w:t>
      </w:r>
      <w:r>
        <w:rPr>
          <w:rFonts w:hint="eastAsia" w:ascii="方正仿宋_GBK" w:eastAsia="方正仿宋_GBK"/>
          <w:sz w:val="32"/>
          <w:szCs w:val="32"/>
        </w:rPr>
        <w:t>反映用于对个人和家庭的补助支出。</w:t>
      </w:r>
    </w:p>
    <w:p w14:paraId="22CAB2E6">
      <w:pPr>
        <w:spacing w:line="560" w:lineRule="exact"/>
        <w:ind w:firstLine="643" w:firstLineChars="200"/>
        <w:rPr>
          <w:rFonts w:ascii="方正仿宋_GBK" w:eastAsia="方正仿宋_GBK"/>
          <w:sz w:val="32"/>
          <w:szCs w:val="32"/>
        </w:rPr>
      </w:pPr>
      <w:r>
        <w:rPr>
          <w:rFonts w:hint="eastAsia" w:ascii="方正楷体_GBK" w:eastAsia="方正楷体_GBK"/>
          <w:b/>
          <w:bCs/>
          <w:sz w:val="32"/>
          <w:szCs w:val="32"/>
        </w:rPr>
        <w:t>（十七）其他资本性支出（支出经济分类科目类级）：</w:t>
      </w:r>
      <w:r>
        <w:rPr>
          <w:rFonts w:hint="eastAsia" w:ascii="方正仿宋_GBK" w:eastAsia="方正仿宋_GBK"/>
          <w:sz w:val="32"/>
          <w:szCs w:val="32"/>
        </w:rPr>
        <w:t>反映非各级发展与改革部门集中安排的用于购置固定资产、战略性和应急性储备、土地和无形资产，以及构建基础设施、大型修缮和财政支持企业更新改造所发生的支出。</w:t>
      </w:r>
    </w:p>
    <w:p w14:paraId="4459B882">
      <w:pPr>
        <w:spacing w:line="560" w:lineRule="exact"/>
        <w:ind w:firstLine="640" w:firstLineChars="200"/>
        <w:rPr>
          <w:rFonts w:ascii="方正仿宋_GBK" w:eastAsia="方正仿宋_GBK"/>
          <w:sz w:val="32"/>
          <w:szCs w:val="32"/>
        </w:rPr>
      </w:pPr>
      <w:r>
        <w:rPr>
          <w:rFonts w:hint="eastAsia" w:ascii="方正黑体_GBK" w:eastAsia="方正黑体_GBK"/>
          <w:bCs/>
          <w:sz w:val="32"/>
          <w:szCs w:val="32"/>
        </w:rPr>
        <w:t>七、决算公开联系方式及信息反馈渠道</w:t>
      </w:r>
    </w:p>
    <w:p w14:paraId="45565A05">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本单位决算公开信息反馈和联系方式：王彦杰，023-683780</w:t>
      </w:r>
      <w:r>
        <w:rPr>
          <w:rFonts w:ascii="方正仿宋_GBK" w:eastAsia="方正仿宋_GBK"/>
          <w:sz w:val="32"/>
          <w:szCs w:val="32"/>
        </w:rPr>
        <w:t>50</w:t>
      </w: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1" w:fontKey="{2311E9FB-1F03-4C2F-8ED1-071CD0E03BA3}"/>
  </w:font>
  <w:font w:name="方正小标宋_GBK">
    <w:panose1 w:val="02000000000000000000"/>
    <w:charset w:val="86"/>
    <w:family w:val="script"/>
    <w:pitch w:val="default"/>
    <w:sig w:usb0="A00002BF" w:usb1="38CF7CFA" w:usb2="00082016" w:usb3="00000000" w:csb0="00040001" w:csb1="00000000"/>
    <w:embedRegular r:id="rId2" w:fontKey="{2811FA5C-08CC-46F5-8E01-62CFBAA02046}"/>
  </w:font>
  <w:font w:name="方正仿宋_GBK">
    <w:panose1 w:val="03000509000000000000"/>
    <w:charset w:val="86"/>
    <w:family w:val="script"/>
    <w:pitch w:val="default"/>
    <w:sig w:usb0="00000001" w:usb1="080E0000" w:usb2="00000000" w:usb3="00000000" w:csb0="00040000" w:csb1="00000000"/>
    <w:embedRegular r:id="rId3" w:fontKey="{3026D614-0781-4C5B-B52A-C1A01BA74C00}"/>
  </w:font>
  <w:font w:name="方正黑体_GBK">
    <w:panose1 w:val="02010600010101010101"/>
    <w:charset w:val="86"/>
    <w:family w:val="script"/>
    <w:pitch w:val="default"/>
    <w:sig w:usb0="00000001" w:usb1="080E0000" w:usb2="00000000" w:usb3="00000000" w:csb0="00040000" w:csb1="00000000"/>
    <w:embedRegular r:id="rId4" w:fontKey="{1FEC172F-BAF7-49EF-9E34-6E99ED47FAED}"/>
  </w:font>
  <w:font w:name="方正楷体_GBK">
    <w:panose1 w:val="02000000000000000000"/>
    <w:charset w:val="86"/>
    <w:family w:val="script"/>
    <w:pitch w:val="default"/>
    <w:sig w:usb0="800002BF" w:usb1="38CF7CFA" w:usb2="00000016" w:usb3="00000000" w:csb0="00040000" w:csb1="00000000"/>
    <w:embedRegular r:id="rId5" w:fontKey="{2EC481C5-FCE1-4501-9531-9C3CCEEE457C}"/>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25D3"/>
    <w:rsid w:val="000034CF"/>
    <w:rsid w:val="00003DB2"/>
    <w:rsid w:val="00007A2B"/>
    <w:rsid w:val="00015743"/>
    <w:rsid w:val="00023957"/>
    <w:rsid w:val="000245BC"/>
    <w:rsid w:val="00024AF7"/>
    <w:rsid w:val="00025A00"/>
    <w:rsid w:val="00040978"/>
    <w:rsid w:val="00045F88"/>
    <w:rsid w:val="00050D5D"/>
    <w:rsid w:val="00052C3F"/>
    <w:rsid w:val="00060910"/>
    <w:rsid w:val="000641A3"/>
    <w:rsid w:val="000713A5"/>
    <w:rsid w:val="00072561"/>
    <w:rsid w:val="00073BCB"/>
    <w:rsid w:val="00075192"/>
    <w:rsid w:val="0007594D"/>
    <w:rsid w:val="0007674D"/>
    <w:rsid w:val="0008586E"/>
    <w:rsid w:val="000859D2"/>
    <w:rsid w:val="000913AC"/>
    <w:rsid w:val="0009231E"/>
    <w:rsid w:val="00095643"/>
    <w:rsid w:val="000A5513"/>
    <w:rsid w:val="000B03FF"/>
    <w:rsid w:val="000B043D"/>
    <w:rsid w:val="000B170B"/>
    <w:rsid w:val="000B60E8"/>
    <w:rsid w:val="000C1892"/>
    <w:rsid w:val="000D7AFF"/>
    <w:rsid w:val="000E35F8"/>
    <w:rsid w:val="000F4700"/>
    <w:rsid w:val="0010288F"/>
    <w:rsid w:val="00106BDF"/>
    <w:rsid w:val="001167B4"/>
    <w:rsid w:val="00123479"/>
    <w:rsid w:val="00123C6D"/>
    <w:rsid w:val="00131AD7"/>
    <w:rsid w:val="00134524"/>
    <w:rsid w:val="00156804"/>
    <w:rsid w:val="00160251"/>
    <w:rsid w:val="00161F60"/>
    <w:rsid w:val="00162DCA"/>
    <w:rsid w:val="00173589"/>
    <w:rsid w:val="00175628"/>
    <w:rsid w:val="00180C50"/>
    <w:rsid w:val="00180D48"/>
    <w:rsid w:val="00184689"/>
    <w:rsid w:val="00184AA7"/>
    <w:rsid w:val="001A46C0"/>
    <w:rsid w:val="001A4BF2"/>
    <w:rsid w:val="001F41D9"/>
    <w:rsid w:val="00210DD7"/>
    <w:rsid w:val="00211846"/>
    <w:rsid w:val="00222459"/>
    <w:rsid w:val="00225D65"/>
    <w:rsid w:val="00240A51"/>
    <w:rsid w:val="00242B6B"/>
    <w:rsid w:val="00252A98"/>
    <w:rsid w:val="0027089B"/>
    <w:rsid w:val="002725D3"/>
    <w:rsid w:val="00275913"/>
    <w:rsid w:val="00276BC9"/>
    <w:rsid w:val="00291902"/>
    <w:rsid w:val="002B282B"/>
    <w:rsid w:val="002B794E"/>
    <w:rsid w:val="002C10F2"/>
    <w:rsid w:val="002C6C58"/>
    <w:rsid w:val="002D38D9"/>
    <w:rsid w:val="002E14FE"/>
    <w:rsid w:val="002E1A8F"/>
    <w:rsid w:val="002E365C"/>
    <w:rsid w:val="002E57C2"/>
    <w:rsid w:val="002E7490"/>
    <w:rsid w:val="002F2B05"/>
    <w:rsid w:val="002F731C"/>
    <w:rsid w:val="00303ACA"/>
    <w:rsid w:val="00323238"/>
    <w:rsid w:val="00324369"/>
    <w:rsid w:val="00327D7B"/>
    <w:rsid w:val="003672CA"/>
    <w:rsid w:val="00374869"/>
    <w:rsid w:val="003763E2"/>
    <w:rsid w:val="00376D65"/>
    <w:rsid w:val="00377665"/>
    <w:rsid w:val="00380C70"/>
    <w:rsid w:val="0038527F"/>
    <w:rsid w:val="003A70EE"/>
    <w:rsid w:val="003B7DD0"/>
    <w:rsid w:val="003C46D5"/>
    <w:rsid w:val="003D2B3B"/>
    <w:rsid w:val="003D36D8"/>
    <w:rsid w:val="003D63B9"/>
    <w:rsid w:val="003D70C8"/>
    <w:rsid w:val="003E2DBE"/>
    <w:rsid w:val="003E5096"/>
    <w:rsid w:val="003E66D7"/>
    <w:rsid w:val="003F0E45"/>
    <w:rsid w:val="003F0EF4"/>
    <w:rsid w:val="003F266B"/>
    <w:rsid w:val="003F3C88"/>
    <w:rsid w:val="003F6384"/>
    <w:rsid w:val="0040128A"/>
    <w:rsid w:val="00401BC6"/>
    <w:rsid w:val="00402BBA"/>
    <w:rsid w:val="00410845"/>
    <w:rsid w:val="00416944"/>
    <w:rsid w:val="00417C94"/>
    <w:rsid w:val="00420B69"/>
    <w:rsid w:val="00431D4D"/>
    <w:rsid w:val="00432663"/>
    <w:rsid w:val="004437A2"/>
    <w:rsid w:val="0045183C"/>
    <w:rsid w:val="00475DB6"/>
    <w:rsid w:val="004823F5"/>
    <w:rsid w:val="00490E40"/>
    <w:rsid w:val="0049124F"/>
    <w:rsid w:val="0049472A"/>
    <w:rsid w:val="00494A67"/>
    <w:rsid w:val="004A0ADE"/>
    <w:rsid w:val="004A3006"/>
    <w:rsid w:val="004A4D6B"/>
    <w:rsid w:val="004A52F3"/>
    <w:rsid w:val="004B468D"/>
    <w:rsid w:val="004D05A7"/>
    <w:rsid w:val="004D4A92"/>
    <w:rsid w:val="004D74CE"/>
    <w:rsid w:val="004D7A81"/>
    <w:rsid w:val="004E2D6D"/>
    <w:rsid w:val="004E3034"/>
    <w:rsid w:val="004E42D2"/>
    <w:rsid w:val="004F0271"/>
    <w:rsid w:val="004F2667"/>
    <w:rsid w:val="004F5A22"/>
    <w:rsid w:val="004F5CD0"/>
    <w:rsid w:val="004F6670"/>
    <w:rsid w:val="00506C07"/>
    <w:rsid w:val="00507FD4"/>
    <w:rsid w:val="005113F7"/>
    <w:rsid w:val="0051797E"/>
    <w:rsid w:val="00520DF4"/>
    <w:rsid w:val="00530D48"/>
    <w:rsid w:val="00540B2A"/>
    <w:rsid w:val="005468BD"/>
    <w:rsid w:val="0056189A"/>
    <w:rsid w:val="0058773F"/>
    <w:rsid w:val="00587F19"/>
    <w:rsid w:val="00591350"/>
    <w:rsid w:val="005A0831"/>
    <w:rsid w:val="005A2579"/>
    <w:rsid w:val="005A65C2"/>
    <w:rsid w:val="005D0FF6"/>
    <w:rsid w:val="005D5B55"/>
    <w:rsid w:val="00606F05"/>
    <w:rsid w:val="00610F9A"/>
    <w:rsid w:val="00616319"/>
    <w:rsid w:val="0062460C"/>
    <w:rsid w:val="00637DA3"/>
    <w:rsid w:val="0064551C"/>
    <w:rsid w:val="0064782D"/>
    <w:rsid w:val="00660E50"/>
    <w:rsid w:val="00663F97"/>
    <w:rsid w:val="00672DA6"/>
    <w:rsid w:val="00676A0E"/>
    <w:rsid w:val="00680743"/>
    <w:rsid w:val="006807E8"/>
    <w:rsid w:val="00683E49"/>
    <w:rsid w:val="00684A69"/>
    <w:rsid w:val="00686983"/>
    <w:rsid w:val="00686D28"/>
    <w:rsid w:val="006933A0"/>
    <w:rsid w:val="006B7BFD"/>
    <w:rsid w:val="006B7E7B"/>
    <w:rsid w:val="006D4E1D"/>
    <w:rsid w:val="006E3CE2"/>
    <w:rsid w:val="006E7BB0"/>
    <w:rsid w:val="00704D65"/>
    <w:rsid w:val="00722018"/>
    <w:rsid w:val="007223AE"/>
    <w:rsid w:val="00722780"/>
    <w:rsid w:val="00723699"/>
    <w:rsid w:val="00723D24"/>
    <w:rsid w:val="00730A53"/>
    <w:rsid w:val="00730B75"/>
    <w:rsid w:val="00755740"/>
    <w:rsid w:val="00762FE0"/>
    <w:rsid w:val="00763278"/>
    <w:rsid w:val="007662B5"/>
    <w:rsid w:val="00773F3C"/>
    <w:rsid w:val="0077594B"/>
    <w:rsid w:val="007938C4"/>
    <w:rsid w:val="00795B16"/>
    <w:rsid w:val="00797126"/>
    <w:rsid w:val="007A7DC4"/>
    <w:rsid w:val="007B3A05"/>
    <w:rsid w:val="007C0B60"/>
    <w:rsid w:val="007C633C"/>
    <w:rsid w:val="007D5B67"/>
    <w:rsid w:val="007E20C7"/>
    <w:rsid w:val="007F794C"/>
    <w:rsid w:val="008051D3"/>
    <w:rsid w:val="008102E0"/>
    <w:rsid w:val="00820D54"/>
    <w:rsid w:val="008306B9"/>
    <w:rsid w:val="00840687"/>
    <w:rsid w:val="00861AAB"/>
    <w:rsid w:val="00865A7C"/>
    <w:rsid w:val="008761C3"/>
    <w:rsid w:val="008863D2"/>
    <w:rsid w:val="0089286F"/>
    <w:rsid w:val="00892FB4"/>
    <w:rsid w:val="008A2E1E"/>
    <w:rsid w:val="008A6FC3"/>
    <w:rsid w:val="008A7178"/>
    <w:rsid w:val="008C0E7B"/>
    <w:rsid w:val="008C1D93"/>
    <w:rsid w:val="008C2DA8"/>
    <w:rsid w:val="008C6343"/>
    <w:rsid w:val="008D3606"/>
    <w:rsid w:val="008D3C36"/>
    <w:rsid w:val="008D790A"/>
    <w:rsid w:val="008F5E0C"/>
    <w:rsid w:val="008F7ECD"/>
    <w:rsid w:val="00907407"/>
    <w:rsid w:val="00912738"/>
    <w:rsid w:val="0091775A"/>
    <w:rsid w:val="00930852"/>
    <w:rsid w:val="00930C64"/>
    <w:rsid w:val="00930F80"/>
    <w:rsid w:val="00932744"/>
    <w:rsid w:val="00937FEC"/>
    <w:rsid w:val="00945365"/>
    <w:rsid w:val="00947B6F"/>
    <w:rsid w:val="009552BD"/>
    <w:rsid w:val="00970BF3"/>
    <w:rsid w:val="00983984"/>
    <w:rsid w:val="00987308"/>
    <w:rsid w:val="009A1508"/>
    <w:rsid w:val="009A348D"/>
    <w:rsid w:val="009A65FD"/>
    <w:rsid w:val="009B1AF6"/>
    <w:rsid w:val="009B332B"/>
    <w:rsid w:val="009C46F3"/>
    <w:rsid w:val="009C6343"/>
    <w:rsid w:val="009D0E47"/>
    <w:rsid w:val="009D6795"/>
    <w:rsid w:val="00A00221"/>
    <w:rsid w:val="00A26092"/>
    <w:rsid w:val="00A31283"/>
    <w:rsid w:val="00A435B6"/>
    <w:rsid w:val="00A47067"/>
    <w:rsid w:val="00A51539"/>
    <w:rsid w:val="00A51B51"/>
    <w:rsid w:val="00A5614F"/>
    <w:rsid w:val="00A71E38"/>
    <w:rsid w:val="00A75530"/>
    <w:rsid w:val="00A76785"/>
    <w:rsid w:val="00A81900"/>
    <w:rsid w:val="00A82DF3"/>
    <w:rsid w:val="00A86437"/>
    <w:rsid w:val="00A9303D"/>
    <w:rsid w:val="00A93A71"/>
    <w:rsid w:val="00AA40FA"/>
    <w:rsid w:val="00AA42C6"/>
    <w:rsid w:val="00AA5521"/>
    <w:rsid w:val="00AB4DEC"/>
    <w:rsid w:val="00AC00B8"/>
    <w:rsid w:val="00AE4108"/>
    <w:rsid w:val="00AF0BCB"/>
    <w:rsid w:val="00B07AE9"/>
    <w:rsid w:val="00B13B8F"/>
    <w:rsid w:val="00B16C96"/>
    <w:rsid w:val="00B32EBC"/>
    <w:rsid w:val="00B34E3C"/>
    <w:rsid w:val="00B4389B"/>
    <w:rsid w:val="00B50EC9"/>
    <w:rsid w:val="00B609A3"/>
    <w:rsid w:val="00B649C9"/>
    <w:rsid w:val="00B77CC4"/>
    <w:rsid w:val="00B82483"/>
    <w:rsid w:val="00B82810"/>
    <w:rsid w:val="00B90C18"/>
    <w:rsid w:val="00B9147C"/>
    <w:rsid w:val="00B91EF1"/>
    <w:rsid w:val="00B92929"/>
    <w:rsid w:val="00B957C9"/>
    <w:rsid w:val="00BA30F0"/>
    <w:rsid w:val="00BA718F"/>
    <w:rsid w:val="00BD4CDC"/>
    <w:rsid w:val="00BE6895"/>
    <w:rsid w:val="00BE6C32"/>
    <w:rsid w:val="00BF2CC4"/>
    <w:rsid w:val="00BF3D2E"/>
    <w:rsid w:val="00BF44FD"/>
    <w:rsid w:val="00BF78FE"/>
    <w:rsid w:val="00C10D23"/>
    <w:rsid w:val="00C167E5"/>
    <w:rsid w:val="00C17ACF"/>
    <w:rsid w:val="00C22252"/>
    <w:rsid w:val="00C263AA"/>
    <w:rsid w:val="00C320D5"/>
    <w:rsid w:val="00C34D5F"/>
    <w:rsid w:val="00C37573"/>
    <w:rsid w:val="00C42AD2"/>
    <w:rsid w:val="00C60C43"/>
    <w:rsid w:val="00C70040"/>
    <w:rsid w:val="00C94365"/>
    <w:rsid w:val="00CA0FD8"/>
    <w:rsid w:val="00CA21E0"/>
    <w:rsid w:val="00CA4CDD"/>
    <w:rsid w:val="00CB02C9"/>
    <w:rsid w:val="00CB4800"/>
    <w:rsid w:val="00CC2C5B"/>
    <w:rsid w:val="00CC2F56"/>
    <w:rsid w:val="00CC63CA"/>
    <w:rsid w:val="00CD03E6"/>
    <w:rsid w:val="00CD55A2"/>
    <w:rsid w:val="00CD69C2"/>
    <w:rsid w:val="00CE10B0"/>
    <w:rsid w:val="00CE24C7"/>
    <w:rsid w:val="00CE3276"/>
    <w:rsid w:val="00CE5684"/>
    <w:rsid w:val="00CE6DB6"/>
    <w:rsid w:val="00CF6747"/>
    <w:rsid w:val="00D018F0"/>
    <w:rsid w:val="00D02771"/>
    <w:rsid w:val="00D05701"/>
    <w:rsid w:val="00D100D6"/>
    <w:rsid w:val="00D10621"/>
    <w:rsid w:val="00D156A0"/>
    <w:rsid w:val="00D227C9"/>
    <w:rsid w:val="00D32AC9"/>
    <w:rsid w:val="00D34D42"/>
    <w:rsid w:val="00D35E8E"/>
    <w:rsid w:val="00D37C5B"/>
    <w:rsid w:val="00D53035"/>
    <w:rsid w:val="00D55A42"/>
    <w:rsid w:val="00D604F8"/>
    <w:rsid w:val="00D61964"/>
    <w:rsid w:val="00D741DC"/>
    <w:rsid w:val="00D90723"/>
    <w:rsid w:val="00DC25CE"/>
    <w:rsid w:val="00DC4F11"/>
    <w:rsid w:val="00DC588E"/>
    <w:rsid w:val="00DD10F1"/>
    <w:rsid w:val="00DD3149"/>
    <w:rsid w:val="00DE0F84"/>
    <w:rsid w:val="00DE3443"/>
    <w:rsid w:val="00DF07EA"/>
    <w:rsid w:val="00E11090"/>
    <w:rsid w:val="00E213DF"/>
    <w:rsid w:val="00E22B04"/>
    <w:rsid w:val="00E23D38"/>
    <w:rsid w:val="00E26B51"/>
    <w:rsid w:val="00E330AA"/>
    <w:rsid w:val="00E41431"/>
    <w:rsid w:val="00E44DC1"/>
    <w:rsid w:val="00E50A54"/>
    <w:rsid w:val="00E63F14"/>
    <w:rsid w:val="00E64777"/>
    <w:rsid w:val="00E75241"/>
    <w:rsid w:val="00E75336"/>
    <w:rsid w:val="00E80690"/>
    <w:rsid w:val="00E91039"/>
    <w:rsid w:val="00EA5A8C"/>
    <w:rsid w:val="00EA66ED"/>
    <w:rsid w:val="00EB64D7"/>
    <w:rsid w:val="00EB7F71"/>
    <w:rsid w:val="00EC3B80"/>
    <w:rsid w:val="00ED126A"/>
    <w:rsid w:val="00ED41AE"/>
    <w:rsid w:val="00EE068D"/>
    <w:rsid w:val="00EE1E36"/>
    <w:rsid w:val="00EE56FF"/>
    <w:rsid w:val="00EF29B0"/>
    <w:rsid w:val="00EF6B0E"/>
    <w:rsid w:val="00EF766A"/>
    <w:rsid w:val="00F227A9"/>
    <w:rsid w:val="00F308DD"/>
    <w:rsid w:val="00F34384"/>
    <w:rsid w:val="00F3499D"/>
    <w:rsid w:val="00F45B2D"/>
    <w:rsid w:val="00F51C23"/>
    <w:rsid w:val="00F52513"/>
    <w:rsid w:val="00F55341"/>
    <w:rsid w:val="00F55CF4"/>
    <w:rsid w:val="00F65EF8"/>
    <w:rsid w:val="00F95147"/>
    <w:rsid w:val="00F966CE"/>
    <w:rsid w:val="00FA1C5D"/>
    <w:rsid w:val="00FB215B"/>
    <w:rsid w:val="00FC0957"/>
    <w:rsid w:val="00FC79AD"/>
    <w:rsid w:val="00FD0064"/>
    <w:rsid w:val="00FD5459"/>
    <w:rsid w:val="00FD5DE2"/>
    <w:rsid w:val="00FF2F37"/>
    <w:rsid w:val="036E6670"/>
    <w:rsid w:val="044A350A"/>
    <w:rsid w:val="07A06F71"/>
    <w:rsid w:val="08737CA7"/>
    <w:rsid w:val="08C95014"/>
    <w:rsid w:val="1029070A"/>
    <w:rsid w:val="10CF7B5F"/>
    <w:rsid w:val="11D35ECA"/>
    <w:rsid w:val="12FD51C6"/>
    <w:rsid w:val="13574ACC"/>
    <w:rsid w:val="138E4FD6"/>
    <w:rsid w:val="15B4406C"/>
    <w:rsid w:val="15C55CE1"/>
    <w:rsid w:val="16722F75"/>
    <w:rsid w:val="18BF13D4"/>
    <w:rsid w:val="1A2A5C63"/>
    <w:rsid w:val="1B005D35"/>
    <w:rsid w:val="1CDE03DB"/>
    <w:rsid w:val="1E3462A1"/>
    <w:rsid w:val="1F3C7538"/>
    <w:rsid w:val="1F4A3BBF"/>
    <w:rsid w:val="27B950BF"/>
    <w:rsid w:val="2E4E3557"/>
    <w:rsid w:val="34D65600"/>
    <w:rsid w:val="35BF39AF"/>
    <w:rsid w:val="3A0F0123"/>
    <w:rsid w:val="3C9B0E55"/>
    <w:rsid w:val="3DAF19D8"/>
    <w:rsid w:val="4200586A"/>
    <w:rsid w:val="450D3661"/>
    <w:rsid w:val="473B7D27"/>
    <w:rsid w:val="4C5B1196"/>
    <w:rsid w:val="4EFA7FBE"/>
    <w:rsid w:val="4FEB3096"/>
    <w:rsid w:val="51F07F09"/>
    <w:rsid w:val="55174C58"/>
    <w:rsid w:val="57877E88"/>
    <w:rsid w:val="5F8E3150"/>
    <w:rsid w:val="60A5029D"/>
    <w:rsid w:val="62552C04"/>
    <w:rsid w:val="65F51C0A"/>
    <w:rsid w:val="66D0479F"/>
    <w:rsid w:val="683C10EE"/>
    <w:rsid w:val="68DD59CC"/>
    <w:rsid w:val="69863972"/>
    <w:rsid w:val="6A63379D"/>
    <w:rsid w:val="6B42007C"/>
    <w:rsid w:val="6F4F382A"/>
    <w:rsid w:val="74927300"/>
    <w:rsid w:val="79AA1FE2"/>
    <w:rsid w:val="7C914581"/>
    <w:rsid w:val="7D3E1462"/>
    <w:rsid w:val="7DD55C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rPr>
      <w:rFonts w:ascii="Times New Roman" w:hAnsi="Times New Roman" w:cs="Times New Roman"/>
      <w:sz w:val="24"/>
      <w:szCs w:val="24"/>
    </w:rPr>
  </w:style>
  <w:style w:type="character" w:styleId="7">
    <w:name w:val="Strong"/>
    <w:basedOn w:val="6"/>
    <w:qFormat/>
    <w:uiPriority w:val="22"/>
    <w:rPr>
      <w:b/>
      <w:bCs/>
    </w:rPr>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36EE4F-A46B-4008-9D08-94C515FCD1D1}">
  <ds:schemaRefs/>
</ds:datastoreItem>
</file>

<file path=docProps/app.xml><?xml version="1.0" encoding="utf-8"?>
<Properties xmlns="http://schemas.openxmlformats.org/officeDocument/2006/extended-properties" xmlns:vt="http://schemas.openxmlformats.org/officeDocument/2006/docPropsVTypes">
  <Template>Normal.dotm</Template>
  <Pages>13</Pages>
  <Words>6408</Words>
  <Characters>7109</Characters>
  <Lines>52</Lines>
  <Paragraphs>14</Paragraphs>
  <TotalTime>106</TotalTime>
  <ScaleCrop>false</ScaleCrop>
  <LinksUpToDate>false</LinksUpToDate>
  <CharactersWithSpaces>7122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2021-10-18T11:05:00Z</dcterms:created>
  <dc:creator>警务保障处</dc:creator>
  <cp:lastModifiedBy>silence</cp:lastModifiedBy>
  <dcterms:modified xsi:type="dcterms:W3CDTF">2025-03-13T06:20:06Z</dcterms:modified>
  <cp:revision>354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eyJoZGlkIjoiZjRmYWUxOWJhMWE5OGFmZGQyNzA0NjBkZTNhOGRjMDEiLCJ1c2VySWQiOiIyNDg4ODMzNzUifQ==</vt:lpwstr>
  </property>
  <property fmtid="{D5CDD505-2E9C-101B-9397-08002B2CF9AE}" pid="4" name="ICV">
    <vt:lpwstr>235FD37E57384002AFA51B2DE97ABFB4_12</vt:lpwstr>
  </property>
</Properties>
</file>